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76" w:lineRule="auto"/>
        <w:jc w:val="center"/>
      </w:pPr>
      <w:r>
        <w:rPr>
          <w:rFonts w:ascii="Times New Roman" w:hAnsi="Times New Roman" w:cs="Times New Roman"/>
          <w:b/>
          <w:i w:val="0"/>
          <w:sz w:val="24"/>
        </w:rPr>
        <w:t>МИНИСТЕРСТВО НАУКИ И ВЫСШЕГО ОБРАЗОВАНИЯ РОССИЙСКОЙ ФЕДЕРАЦИИ</w:t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/>
          <w:b/>
          <w:i w:val="0"/>
          <w:sz w:val="24"/>
        </w:rPr>
        <w:t>федеральное государственное автономное образовательное учреждение высшего образования</w:t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/>
          <w:b/>
          <w:i w:val="0"/>
          <w:sz w:val="24"/>
        </w:rPr>
        <w:t>«САНКТ-ПЕТЕРБУРГСКИЙ ГОСУДАРСТВЕННЫЙ УНИВЕРСИТЕТ АЭРОКОСМИЧЕСКОГО ПРИБОРОСТРОЕНИЯ»</w:t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/>
          <w:b/>
          <w:i w:val="0"/>
          <w:sz w:val="24"/>
        </w:rPr>
        <w:t>КАФЕДРА №5</w:t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line="276" w:lineRule="auto" w:after="0"/>
      </w:pPr>
      <w:r>
        <w:rPr>
          <w:rFonts w:ascii="Times New Roman" w:hAnsi="Times New Roman" w:cs="Times New Roman"/>
          <w:b/>
          <w:i w:val="0"/>
          <w:sz w:val="24"/>
        </w:rPr>
        <w:t xml:space="preserve">ОТЧЕТ </w:t>
      </w:r>
      <w:r>
        <w:rPr>
          <w:rFonts w:ascii="Times New Roman" w:hAnsi="Times New Roman" w:cs="Times New Roman"/>
          <w:b w:val="0"/>
          <w:i w:val="0"/>
          <w:sz w:val="24"/>
        </w:rPr>
        <w:tab/>
        <w:tab/>
        <w:tab/>
        <w:tab/>
      </w:r>
      <w:r>
        <w:rPr>
          <w:rFonts w:ascii="Times New Roman" w:hAnsi="Times New Roman" w:cs="Times New Roman"/>
          <w:b/>
          <w:i w:val="0"/>
          <w:sz w:val="24"/>
        </w:rPr>
        <w:t>ЗАЩИЩЕН С ОЦЕНКОЙ</w:t>
      </w:r>
    </w:p>
    <w:p>
      <w:pPr>
        <w:spacing w:after="0" w:before="0" w:line="276" w:lineRule="auto"/>
      </w:pPr>
      <w:r>
        <w:rPr>
          <w:rFonts w:ascii="Times New Roman" w:hAnsi="Times New Roman" w:cs="Times New Roman"/>
          <w:b/>
          <w:i w:val="0"/>
          <w:sz w:val="24"/>
        </w:rPr>
        <w:t>ПРЕПОДАВАТЕЛЬ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2835"/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канд. техн. наук, доцент</w:t>
            </w:r>
          </w:p>
        </w:tc>
        <w:tc>
          <w:tcPr>
            <w:tcW w:type="dxa" w:w="1417"/>
          </w:tcPr>
          <w:p/>
        </w:tc>
        <w:tc>
          <w:tcPr>
            <w:tcW w:type="dxa" w:w="1984"/>
          </w:tcPr>
          <w:p/>
        </w:tc>
        <w:tc>
          <w:tcPr>
            <w:tcW w:type="dxa" w:w="170"/>
          </w:tcPr>
          <w:p/>
        </w:tc>
        <w:tc>
          <w:tcPr>
            <w:tcW w:type="dxa" w:w="2835"/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В. М. Милова</w:t>
            </w:r>
          </w:p>
        </w:tc>
      </w:tr>
      <w:tr>
        <w:tc>
          <w:tcPr>
            <w:tcW w:type="dxa" w:w="2835"/>
            <w:tcBorders>
              <w:top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/>
                <w:sz w:val="20"/>
              </w:rPr>
              <w:t>должность, уч. степень, звание</w:t>
            </w:r>
          </w:p>
        </w:tc>
        <w:tc>
          <w:tcPr>
            <w:tcW w:type="dxa" w:w="1417"/>
          </w:tcPr>
          <w:p/>
        </w:tc>
        <w:tc>
          <w:tcPr>
            <w:tcW w:type="dxa" w:w="1984"/>
            <w:tcBorders>
              <w:top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/>
                <w:sz w:val="20"/>
              </w:rPr>
              <w:t>подпись, дата</w:t>
            </w:r>
          </w:p>
        </w:tc>
        <w:tc>
          <w:tcPr>
            <w:tcW w:type="dxa" w:w="170"/>
          </w:tcPr>
          <w:p/>
        </w:tc>
        <w:tc>
          <w:tcPr>
            <w:tcW w:type="dxa" w:w="2835"/>
            <w:tcBorders>
              <w:top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/>
                <w:sz w:val="20"/>
              </w:rPr>
              <w:t>инициалы, фамилия</w:t>
            </w:r>
          </w:p>
        </w:tc>
      </w:tr>
    </w:tbl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/>
          <w:b/>
          <w:i w:val="0"/>
          <w:sz w:val="28"/>
        </w:rPr>
        <w:t>ОТЧЕТ ПО ПРАКТИЧЕСКОЙ РАБОТЕ №1</w:t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/>
          <w:b/>
          <w:i w:val="0"/>
          <w:sz w:val="28"/>
        </w:rPr>
        <w:t>МЕТОД ПАРНЫХ СРАВНЕНИЙ</w:t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по дисциплине: Управление качеством организационных систем</w:t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276" w:lineRule="auto"/>
      </w:pPr>
      <w:r>
        <w:rPr>
          <w:rFonts w:ascii="Times New Roman" w:hAnsi="Times New Roman" w:cs="Times New Roman"/>
          <w:b/>
          <w:i w:val="0"/>
          <w:sz w:val="24"/>
        </w:rPr>
        <w:t>РАБОТУ ВЫПОЛНИЛ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984"/>
          </w:tcPr>
          <w:p>
            <w:pPr>
              <w:spacing w:after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СТУДЕНТ ГР. №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М558М</w:t>
            </w:r>
          </w:p>
        </w:tc>
        <w:tc>
          <w:tcPr>
            <w:tcW w:type="dxa" w:w="567"/>
          </w:tcPr>
          <w:p/>
        </w:tc>
        <w:tc>
          <w:tcPr>
            <w:tcW w:type="dxa" w:w="1984"/>
          </w:tcPr>
          <w:p/>
        </w:tc>
        <w:tc>
          <w:tcPr>
            <w:tcW w:type="dxa" w:w="170"/>
          </w:tcPr>
          <w:p/>
        </w:tc>
        <w:tc>
          <w:tcPr>
            <w:tcW w:type="dxa" w:w="2835"/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Д. С. Рослов</w:t>
            </w:r>
          </w:p>
        </w:tc>
      </w:tr>
      <w:tr>
        <w:tc>
          <w:tcPr>
            <w:tcW w:type="dxa" w:w="1984"/>
          </w:tcPr>
          <w:p/>
        </w:tc>
        <w:tc>
          <w:tcPr>
            <w:tcW w:type="dxa" w:w="1020"/>
            <w:tcBorders>
              <w:top w:sz="4" w:val="single" w:color="000000"/>
            </w:tcBorders>
          </w:tcPr>
          <w:p/>
        </w:tc>
        <w:tc>
          <w:tcPr>
            <w:tcW w:type="dxa" w:w="567"/>
          </w:tcPr>
          <w:p/>
        </w:tc>
        <w:tc>
          <w:tcPr>
            <w:tcW w:type="dxa" w:w="1984"/>
            <w:tcBorders>
              <w:top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/>
                <w:sz w:val="20"/>
              </w:rPr>
              <w:t>подпись, дата</w:t>
            </w:r>
          </w:p>
        </w:tc>
        <w:tc>
          <w:tcPr>
            <w:tcW w:type="dxa" w:w="170"/>
          </w:tcPr>
          <w:p/>
        </w:tc>
        <w:tc>
          <w:tcPr>
            <w:tcW w:type="dxa" w:w="2835"/>
            <w:tcBorders>
              <w:top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/>
                <w:sz w:val="20"/>
              </w:rPr>
              <w:t>инициалы, фамилия</w:t>
            </w:r>
          </w:p>
        </w:tc>
      </w:tr>
    </w:tbl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/>
          <w:b/>
          <w:i w:val="0"/>
          <w:sz w:val="24"/>
        </w:rPr>
        <w:t>Санкт-Петербург 2026</w:t>
      </w:r>
    </w:p>
    <w:p>
      <w:r>
        <w:br w:type="page"/>
      </w:r>
    </w:p>
    <w:p>
      <w:pPr>
        <w:spacing w:before="120" w:after="120" w:line="360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Цель работы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Ознакомиться с методом парных сравнений, применить его для ранжирования альтернатив (целей) и определения их весов, сделать обоснованный выбор наиболее предпочтительного варианта.</w:t>
      </w:r>
    </w:p>
    <w:p>
      <w:pPr>
        <w:spacing w:before="120" w:after="120" w:line="360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Краткое описание метода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Метод парных сравнений основан на попарном сравнении объектов (целей, альтернатив). Каждая пара сравнивается по правилу: если i-й объект предпочтительнее j-го, то a_ij = 2; если они равнозначны — a_ij = 1; если i-й уступает j-му — a_ij = 0. На диагонали матрицы всегда стоят единицы (объект сравнивается сам с собой).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После заполнения матрицы по каждой строке подсчитывается сумма оценок S_i. Относительный вес i-й цели вычисляется как V_i = S_i / Σ S_i. Ранжирование целей производится по убыванию весов V_i.</w:t>
      </w:r>
    </w:p>
    <w:p>
      <w:pPr>
        <w:spacing w:before="120" w:after="120" w:line="360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Постановка задачи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Строительная компания рассматривает предложения от четырёх компаний-поставщиков строительных материалов (Z1, Z2, Z3, Z4). Требуется методом парных сравнений проранжировать альтернативы и определить наиболее предпочтительный вариант для заключения договора поставки.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Решение выполнено для трёх вариантов исходных данных. Расчёты произведены в Microsoft Excel с использованием формул СУММ и деления на общую сумму.</w:t>
      </w:r>
    </w:p>
    <w:p>
      <w:pPr>
        <w:spacing w:before="120" w:after="120" w:line="360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Вариант 1</w:t>
      </w:r>
    </w:p>
    <w:p>
      <w:pPr>
        <w:spacing w:after="0" w:before="0" w:line="360" w:lineRule="auto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Исходная матрица парных сравнений для варианта 1: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Zi/Zj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Z1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Z2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Z3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Z4</w:t>
            </w:r>
          </w:p>
        </w:tc>
      </w:tr>
      <w:tr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Z1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</w:tr>
      <w:tr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Z2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2</w:t>
            </w:r>
          </w:p>
        </w:tc>
      </w:tr>
      <w:tr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Z3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</w:t>
            </w:r>
          </w:p>
        </w:tc>
      </w:tr>
      <w:tr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Z4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</w:tr>
    </w:tbl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16"/>
        </w:rPr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В таблице ниже (рис. 1) приведён полный расчёт: сумма оценок по строкам, итоговая сумма 16, а также нормированные веса целей. Расчёт суммы выполнен функцией СУММ, веса — делением суммы строки на итог.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8092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iant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092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hAnsi="Times New Roman" w:cs="Times New Roman"/>
          <w:b w:val="0"/>
          <w:i/>
          <w:sz w:val="24"/>
        </w:rPr>
        <w:t>Рисунок 1 — Расчёт метода парных сравнений для варианта 1</w:t>
      </w:r>
    </w:p>
    <w:p>
      <w:pPr>
        <w:spacing w:after="0" w:before="0" w:line="360" w:lineRule="auto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Порядок предпочтения целей: Z1 = Z2 &gt; Z4 &gt; Z3.</w:t>
      </w:r>
    </w:p>
    <w:p>
      <w:pPr>
        <w:spacing w:after="0" w:before="0" w:line="360" w:lineRule="auto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Веса: V1 = 5/16 = 0.312; V2 = 5/16 = 0.312; V3 = 2/16 = 0.125; V4 = 4/16 = 0.250.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Вывод по варианту 1: наиболее предпочтительным является вариант Z1 с наибольшим весом 0.312. Этой компании-поставщику и следует отдать предпочтение при заключении договора.</w:t>
      </w:r>
    </w:p>
    <w:p>
      <w:pPr>
        <w:spacing w:before="120" w:after="120" w:line="360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Вариант 2</w:t>
      </w:r>
    </w:p>
    <w:p>
      <w:pPr>
        <w:spacing w:after="0" w:before="0" w:line="360" w:lineRule="auto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Исходная матрица парных сравнений для варианта 2: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Zi/Zj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Z1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Z2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Z3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Z4</w:t>
            </w:r>
          </w:p>
        </w:tc>
      </w:tr>
      <w:tr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Z1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2</w:t>
            </w:r>
          </w:p>
        </w:tc>
      </w:tr>
      <w:tr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Z2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</w:tr>
      <w:tr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Z3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</w:tr>
      <w:tr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Z4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</w:tr>
    </w:tbl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16"/>
        </w:rPr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В таблице ниже (рис. 2) приведён полный расчёт: сумма оценок по строкам, итоговая сумма 16, а также нормированные веса целей. Расчёт суммы выполнен функцией СУММ, веса — делением суммы строки на итог.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8092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iant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092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hAnsi="Times New Roman" w:cs="Times New Roman"/>
          <w:b w:val="0"/>
          <w:i/>
          <w:sz w:val="24"/>
        </w:rPr>
        <w:t>Рисунок 2 — Расчёт метода парных сравнений для варианта 2</w:t>
      </w:r>
    </w:p>
    <w:p>
      <w:pPr>
        <w:spacing w:after="0" w:before="0" w:line="360" w:lineRule="auto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Порядок предпочтения целей: Z1 = Z2 &gt; Z3 = Z4.</w:t>
      </w:r>
    </w:p>
    <w:p>
      <w:pPr>
        <w:spacing w:after="0" w:before="0" w:line="360" w:lineRule="auto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Веса: V1 = 5/16 = 0.312; V2 = 5/16 = 0.312; V3 = 3/16 = 0.188; V4 = 3/16 = 0.188.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Вывод по варианту 2: наиболее предпочтительным является вариант Z1 с наибольшим весом 0.312. Этой компании-поставщику и следует отдать предпочтение при заключении договора.</w:t>
      </w:r>
    </w:p>
    <w:p>
      <w:pPr>
        <w:spacing w:before="120" w:after="120" w:line="360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Вариант 3</w:t>
      </w:r>
    </w:p>
    <w:p>
      <w:pPr>
        <w:spacing w:after="0" w:before="0" w:line="360" w:lineRule="auto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Исходная матрица парных сравнений для варианта 3: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Zi/Zj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Z1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Z2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Z3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Z4</w:t>
            </w:r>
          </w:p>
        </w:tc>
      </w:tr>
      <w:tr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Z1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</w:t>
            </w:r>
          </w:p>
        </w:tc>
      </w:tr>
      <w:tr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Z2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</w:t>
            </w:r>
          </w:p>
        </w:tc>
      </w:tr>
      <w:tr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Z3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</w:t>
            </w:r>
          </w:p>
        </w:tc>
      </w:tr>
      <w:tr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Z4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</w:tr>
    </w:tbl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16"/>
        </w:rPr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В таблице ниже (рис. 3) приведён полный расчёт: сумма оценок по строкам, итоговая сумма 16, а также нормированные веса целей. Расчёт суммы выполнен функцией СУММ, веса — делением суммы строки на итог.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8092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iant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092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hAnsi="Times New Roman" w:cs="Times New Roman"/>
          <w:b w:val="0"/>
          <w:i/>
          <w:sz w:val="24"/>
        </w:rPr>
        <w:t>Рисунок 3 — Расчёт метода парных сравнений для варианта 3</w:t>
      </w:r>
    </w:p>
    <w:p>
      <w:pPr>
        <w:spacing w:after="0" w:before="0" w:line="360" w:lineRule="auto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Порядок предпочтения целей: Z4 &gt; Z2 &gt; Z1 &gt; Z3.</w:t>
      </w:r>
    </w:p>
    <w:p>
      <w:pPr>
        <w:spacing w:after="0" w:before="0" w:line="360" w:lineRule="auto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Веса: V1 = 3/16 = 0.188; V2 = 5/16 = 0.312; V3 = 1/16 = 0.062; V4 = 7/16 = 0.438.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Вывод по варианту 3: наиболее предпочтительным является вариант Z4 с наибольшим весом 0.438. Этой компании-поставщику и следует отдать предпочтение при заключении договора.</w:t>
      </w:r>
    </w:p>
    <w:p>
      <w:pPr>
        <w:spacing w:before="120" w:after="120" w:line="360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Общий вывод по работе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В ходе выполнения работы метод парных сравнений применён для трёх вариантов исходных данных. Для каждого варианта построена матрица парных сравнений, подсчитаны суммы оценок и нормированные веса целей, проведено ранжирование альтернатив и выбран наилучший вариант.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Метод парных сравнений является простым и наглядным инструментом при многокритериальном выборе, особенно когда исходная информация представлена в виде экспертных оценок. Его достоинство — небольшое число сравнений и чёткое ранжирование. Ограничение — возможная несогласованность оценок при большом числе объектов, требующая дополнительной проверки.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