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76" w:lineRule="auto"/>
        <w:jc w:val="center"/>
      </w:pPr>
      <w:r>
        <w:rPr>
          <w:rFonts w:ascii="Times New Roman" w:hAnsi="Times New Roman" w:cs="Times New Roman"/>
          <w:b/>
          <w:i w:val="0"/>
          <w:sz w:val="24"/>
        </w:rPr>
        <w:t>МИНИСТЕРСТВО НАУКИ И ВЫСШЕГО ОБРАЗОВАНИЯ РОССИЙСКОЙ ФЕДЕРАЦИИ</w:t>
      </w:r>
    </w:p>
    <w:p>
      <w:pPr>
        <w:spacing w:after="0" w:before="0" w:line="276" w:lineRule="auto"/>
        <w:jc w:val="center"/>
      </w:pPr>
      <w:r>
        <w:rPr>
          <w:rFonts w:ascii="Times New Roman" w:hAnsi="Times New Roman" w:cs="Times New Roman"/>
          <w:b/>
          <w:i w:val="0"/>
          <w:sz w:val="24"/>
        </w:rPr>
        <w:t>федеральное государственное автономное образовательное учреждение высшего образования</w:t>
      </w:r>
    </w:p>
    <w:p>
      <w:pPr>
        <w:spacing w:after="0" w:before="0" w:line="276" w:lineRule="auto"/>
        <w:jc w:val="center"/>
      </w:pPr>
      <w:r>
        <w:rPr>
          <w:rFonts w:ascii="Times New Roman" w:hAnsi="Times New Roman" w:cs="Times New Roman"/>
          <w:b/>
          <w:i w:val="0"/>
          <w:sz w:val="24"/>
        </w:rPr>
        <w:t>«САНКТ-ПЕТЕРБУРГСКИЙ ГОСУДАРСТВЕННЫЙ УНИВЕРСИТЕТ АЭРОКОСМИЧЕСКОГО ПРИБОРОСТРОЕНИЯ»</w:t>
      </w:r>
    </w:p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276" w:lineRule="auto"/>
        <w:jc w:val="center"/>
      </w:pPr>
      <w:r>
        <w:rPr>
          <w:rFonts w:ascii="Times New Roman" w:hAnsi="Times New Roman" w:cs="Times New Roman"/>
          <w:b/>
          <w:i w:val="0"/>
          <w:sz w:val="24"/>
        </w:rPr>
        <w:t>КАФЕДРА №5</w:t>
      </w:r>
    </w:p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line="276" w:lineRule="auto" w:after="0"/>
      </w:pPr>
      <w:r>
        <w:rPr>
          <w:rFonts w:ascii="Times New Roman" w:hAnsi="Times New Roman" w:cs="Times New Roman"/>
          <w:b/>
          <w:i w:val="0"/>
          <w:sz w:val="24"/>
        </w:rPr>
        <w:t xml:space="preserve">ОТЧЕТ </w:t>
      </w:r>
      <w:r>
        <w:rPr>
          <w:rFonts w:ascii="Times New Roman" w:hAnsi="Times New Roman" w:cs="Times New Roman"/>
          <w:b w:val="0"/>
          <w:i w:val="0"/>
          <w:sz w:val="24"/>
        </w:rPr>
        <w:tab/>
        <w:tab/>
        <w:tab/>
        <w:tab/>
      </w:r>
      <w:r>
        <w:rPr>
          <w:rFonts w:ascii="Times New Roman" w:hAnsi="Times New Roman" w:cs="Times New Roman"/>
          <w:b/>
          <w:i w:val="0"/>
          <w:sz w:val="24"/>
        </w:rPr>
        <w:t>ЗАЩИЩЕН С ОЦЕНКОЙ</w:t>
      </w:r>
    </w:p>
    <w:p>
      <w:pPr>
        <w:spacing w:after="0" w:before="0" w:line="276" w:lineRule="auto"/>
      </w:pPr>
      <w:r>
        <w:rPr>
          <w:rFonts w:ascii="Times New Roman" w:hAnsi="Times New Roman" w:cs="Times New Roman"/>
          <w:b/>
          <w:i w:val="0"/>
          <w:sz w:val="24"/>
        </w:rPr>
        <w:t>ПРЕПОДАВАТЕЛЬ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2835"/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канд. техн. наук, доцент</w:t>
            </w:r>
          </w:p>
        </w:tc>
        <w:tc>
          <w:tcPr>
            <w:tcW w:type="dxa" w:w="1417"/>
          </w:tcPr>
          <w:p/>
        </w:tc>
        <w:tc>
          <w:tcPr>
            <w:tcW w:type="dxa" w:w="1984"/>
          </w:tcPr>
          <w:p/>
        </w:tc>
        <w:tc>
          <w:tcPr>
            <w:tcW w:type="dxa" w:w="170"/>
          </w:tcPr>
          <w:p/>
        </w:tc>
        <w:tc>
          <w:tcPr>
            <w:tcW w:type="dxa" w:w="2835"/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В. М. Милова</w:t>
            </w:r>
          </w:p>
        </w:tc>
      </w:tr>
      <w:tr>
        <w:tc>
          <w:tcPr>
            <w:tcW w:type="dxa" w:w="2835"/>
            <w:tcBorders>
              <w:top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/>
                <w:sz w:val="20"/>
              </w:rPr>
              <w:t>должность, уч. степень, звание</w:t>
            </w:r>
          </w:p>
        </w:tc>
        <w:tc>
          <w:tcPr>
            <w:tcW w:type="dxa" w:w="1417"/>
          </w:tcPr>
          <w:p/>
        </w:tc>
        <w:tc>
          <w:tcPr>
            <w:tcW w:type="dxa" w:w="1984"/>
            <w:tcBorders>
              <w:top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/>
                <w:sz w:val="20"/>
              </w:rPr>
              <w:t>подпись, дата</w:t>
            </w:r>
          </w:p>
        </w:tc>
        <w:tc>
          <w:tcPr>
            <w:tcW w:type="dxa" w:w="170"/>
          </w:tcPr>
          <w:p/>
        </w:tc>
        <w:tc>
          <w:tcPr>
            <w:tcW w:type="dxa" w:w="2835"/>
            <w:tcBorders>
              <w:top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/>
                <w:sz w:val="20"/>
              </w:rPr>
              <w:t>инициалы, фамилия</w:t>
            </w:r>
          </w:p>
        </w:tc>
      </w:tr>
    </w:tbl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276" w:lineRule="auto"/>
        <w:jc w:val="center"/>
      </w:pPr>
      <w:r>
        <w:rPr>
          <w:rFonts w:ascii="Times New Roman" w:hAnsi="Times New Roman" w:cs="Times New Roman"/>
          <w:b/>
          <w:i w:val="0"/>
          <w:sz w:val="28"/>
        </w:rPr>
        <w:t>ОТЧЕТ ПО ПРАКТИЧЕСКОЙ РАБОТЕ №5</w:t>
      </w:r>
    </w:p>
    <w:p>
      <w:pPr>
        <w:spacing w:after="0" w:before="0" w:line="276" w:lineRule="auto"/>
        <w:jc w:val="center"/>
      </w:pPr>
      <w:r>
        <w:rPr>
          <w:rFonts w:ascii="Times New Roman" w:hAnsi="Times New Roman" w:cs="Times New Roman"/>
          <w:b/>
          <w:i w:val="0"/>
          <w:sz w:val="28"/>
        </w:rPr>
        <w:t>СИСТЕМА МЕНЕДЖМЕНТА НЕПРЕРЫВНОСТИ БИЗНЕСА (СМНБ)</w:t>
      </w:r>
    </w:p>
    <w:p>
      <w:pPr>
        <w:spacing w:after="0" w:before="0" w:line="276" w:lineRule="auto"/>
        <w:jc w:val="center"/>
      </w:pPr>
      <w:r>
        <w:rPr>
          <w:rFonts w:ascii="Times New Roman" w:hAnsi="Times New Roman" w:cs="Times New Roman"/>
          <w:b w:val="0"/>
          <w:i w:val="0"/>
          <w:sz w:val="24"/>
        </w:rPr>
        <w:t>по дисциплине: Управление качеством организационных систем</w:t>
      </w:r>
    </w:p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276" w:lineRule="auto"/>
      </w:pPr>
      <w:r>
        <w:rPr>
          <w:rFonts w:ascii="Times New Roman" w:hAnsi="Times New Roman" w:cs="Times New Roman"/>
          <w:b/>
          <w:i w:val="0"/>
          <w:sz w:val="24"/>
        </w:rPr>
        <w:t>РАБОТУ ВЫПОЛНИЛ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1984"/>
          </w:tcPr>
          <w:p>
            <w:pPr>
              <w:spacing w:after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СТУДЕНТ ГР. №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М558М</w:t>
            </w:r>
          </w:p>
        </w:tc>
        <w:tc>
          <w:tcPr>
            <w:tcW w:type="dxa" w:w="567"/>
          </w:tcPr>
          <w:p/>
        </w:tc>
        <w:tc>
          <w:tcPr>
            <w:tcW w:type="dxa" w:w="1984"/>
          </w:tcPr>
          <w:p/>
        </w:tc>
        <w:tc>
          <w:tcPr>
            <w:tcW w:type="dxa" w:w="170"/>
          </w:tcPr>
          <w:p/>
        </w:tc>
        <w:tc>
          <w:tcPr>
            <w:tcW w:type="dxa" w:w="2835"/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Д. С. Рослов</w:t>
            </w:r>
          </w:p>
        </w:tc>
      </w:tr>
      <w:tr>
        <w:tc>
          <w:tcPr>
            <w:tcW w:type="dxa" w:w="1984"/>
          </w:tcPr>
          <w:p/>
        </w:tc>
        <w:tc>
          <w:tcPr>
            <w:tcW w:type="dxa" w:w="1020"/>
            <w:tcBorders>
              <w:top w:sz="4" w:val="single" w:color="000000"/>
            </w:tcBorders>
          </w:tcPr>
          <w:p/>
        </w:tc>
        <w:tc>
          <w:tcPr>
            <w:tcW w:type="dxa" w:w="567"/>
          </w:tcPr>
          <w:p/>
        </w:tc>
        <w:tc>
          <w:tcPr>
            <w:tcW w:type="dxa" w:w="1984"/>
            <w:tcBorders>
              <w:top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/>
                <w:sz w:val="20"/>
              </w:rPr>
              <w:t>подпись, дата</w:t>
            </w:r>
          </w:p>
        </w:tc>
        <w:tc>
          <w:tcPr>
            <w:tcW w:type="dxa" w:w="170"/>
          </w:tcPr>
          <w:p/>
        </w:tc>
        <w:tc>
          <w:tcPr>
            <w:tcW w:type="dxa" w:w="2835"/>
            <w:tcBorders>
              <w:top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/>
                <w:sz w:val="20"/>
              </w:rPr>
              <w:t>инициалы, фамилия</w:t>
            </w:r>
          </w:p>
        </w:tc>
      </w:tr>
    </w:tbl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276" w:lineRule="auto"/>
        <w:jc w:val="center"/>
      </w:pPr>
      <w:r>
        <w:rPr>
          <w:rFonts w:ascii="Times New Roman" w:hAnsi="Times New Roman" w:cs="Times New Roman"/>
          <w:b/>
          <w:i w:val="0"/>
          <w:sz w:val="24"/>
        </w:rPr>
        <w:t>Санкт-Петербург 2026</w:t>
      </w:r>
    </w:p>
    <w:p>
      <w:r>
        <w:br w:type="page"/>
      </w:r>
    </w:p>
    <w:p>
      <w:pPr>
        <w:spacing w:before="120" w:after="120" w:line="360" w:lineRule="auto"/>
        <w:jc w:val="left"/>
      </w:pPr>
      <w:r>
        <w:rPr>
          <w:rFonts w:ascii="Times New Roman" w:hAnsi="Times New Roman" w:cs="Times New Roman"/>
          <w:b/>
          <w:i w:val="0"/>
          <w:sz w:val="28"/>
        </w:rPr>
        <w:t>Цель работы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Ознакомиться с требованиями стандарта ГОСТ Р ИСО 22301-2014 «Системы менеджмента непрерывности бизнеса. Требования» и применить методику анализа воздействия на бизнес (BIA) к реальной организации. Определить ключевые показатели результативности СМНБ, средства управления и план мониторинга.</w:t>
      </w:r>
    </w:p>
    <w:p>
      <w:pPr>
        <w:spacing w:before="120" w:after="120" w:line="360" w:lineRule="auto"/>
        <w:jc w:val="left"/>
      </w:pPr>
      <w:r>
        <w:rPr>
          <w:rFonts w:ascii="Times New Roman" w:hAnsi="Times New Roman" w:cs="Times New Roman"/>
          <w:b/>
          <w:i w:val="0"/>
          <w:sz w:val="28"/>
        </w:rPr>
        <w:t>Объект исследования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В качестве объекта исследования рассмотрена IT-компания, разрабатывающая и внедряющая решения на основе технологий искусственного интеллекта. Выбор объекта обусловлен темой магистерской диссертации автора — «Разработка системы поддержки принятия решений по оценке рисков внедрения технологий искусственного интеллекта в IT-компании на основе нечёткой логики».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Для такой компании типичны риски, связанные с облачной инфраструктурой, утечками данных клиентов, сбоями ML-моделей в продакшене, уходом ключевых разработчиков и кибератаками. В дальнейших расчётах используется шкала степени воздействия: 0 — без воздействия, 1 — незначительное, 2 — затрудняет бизнес-процессы, 3 — серьёзное, 4 — бизнес-процессы прерваны.</w:t>
      </w:r>
    </w:p>
    <w:p>
      <w:pPr>
        <w:spacing w:before="120" w:after="120" w:line="360" w:lineRule="auto"/>
        <w:jc w:val="left"/>
      </w:pPr>
      <w:r>
        <w:rPr>
          <w:rFonts w:ascii="Times New Roman" w:hAnsi="Times New Roman" w:cs="Times New Roman"/>
          <w:b/>
          <w:i w:val="0"/>
          <w:sz w:val="28"/>
        </w:rPr>
        <w:t>Краткие теоретические сведения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ГОСТ Р ИСО 22301-2014 определяет систему менеджмента непрерывности бизнеса (СМНБ) как часть общей системы менеджмента организации, ответственную за обеспечение непрерывности критически важных бизнес-процессов при возникновении инцидентов. Ключевым инструментом СМНБ является анализ воздействия на бизнес (Business Impact Analysis, BIA), позволяющий выделить критические процессы и определить допустимое время простоя.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Основные показатели BIA: MTD (Maximum Tolerable Downtime) — максимально допустимое время простоя; RTO (Recovery Time Objective) — целевое время восстановления; RPO (Recovery Point Objective) — допустимый объём потерь данных. На основе этих показателей строится приоритизация восстановления и планы непрерывности бизнеса (BCP).</w:t>
      </w:r>
    </w:p>
    <w:p>
      <w:pPr>
        <w:spacing w:before="120" w:after="120" w:line="360" w:lineRule="auto"/>
        <w:jc w:val="left"/>
      </w:pPr>
      <w:r>
        <w:rPr>
          <w:rFonts w:ascii="Times New Roman" w:hAnsi="Times New Roman" w:cs="Times New Roman"/>
          <w:b/>
          <w:i w:val="0"/>
          <w:sz w:val="28"/>
        </w:rPr>
        <w:t>1. BIA — анализ воздействия на бизнес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Для IT-компании идентифицировано 12 критических событий, которые могут привести к нарушению бизнес-процессов. По каждому событию оценены MTD, RTO, RPO, степень воздействия на интервалах 1 ч, 2 ч, 4 ч, 8 ч, 1 неделя, определён приоритет восстановления и наличие BCP. Результаты представлены на рис. 1.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6484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648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imes New Roman" w:hAnsi="Times New Roman" w:cs="Times New Roman"/>
          <w:b w:val="0"/>
          <w:i/>
          <w:sz w:val="24"/>
        </w:rPr>
        <w:t>Рисунок 1 — BIA: оценка рисков IT-компании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Наиболее критичные события (приоритет восстановления «Высокий», степень воздействия 4 уже в первый час): кибератака на инфраструктуру, отказ облачной платформы, утечка конфиденциальных данных клиентов, сбой ML-пайплайна в продакшене. Для этих событий MTD составляет от 2 до 24 часов, RTO — от 1 до 12 часов. Для остальных событий (энергоснабжение, уход персонала, коммуникации) характер воздействия нарастающий во времени.</w:t>
      </w:r>
    </w:p>
    <w:p>
      <w:pPr>
        <w:spacing w:before="120" w:after="120" w:line="360" w:lineRule="auto"/>
        <w:jc w:val="left"/>
      </w:pPr>
      <w:r>
        <w:rPr>
          <w:rFonts w:ascii="Times New Roman" w:hAnsi="Times New Roman" w:cs="Times New Roman"/>
          <w:b/>
          <w:i w:val="0"/>
          <w:sz w:val="28"/>
        </w:rPr>
        <w:t>2. Ключевые показатели результативности СМНБ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Для оценки результативности СМНБ разработана система из 10 ключевых показателей, охватывающая четыре группы: соответствие целевым значениям RTO/RPO, покрытие критичных процессов планами BCP, обученность и готовность персонала, доступность и своевременность реагирования. Перечень показателей с целевыми значениями и методами измерения приведён на рис. 2.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05636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pi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0563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imes New Roman" w:hAnsi="Times New Roman" w:cs="Times New Roman"/>
          <w:b w:val="0"/>
          <w:i/>
          <w:sz w:val="24"/>
        </w:rPr>
        <w:t>Рисунок 2 — Показатели результативности СМНБ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Установленные целевые значения соответствуют отраслевой практике: RTO факт / RTO план ≤ 1,0; 100 % критичных процессов должны иметь планы BCP; время обнаружения инцидента — менее 15 минут; доступность критичных сервисов (Uptime) — не ниже 99,5 %; тестирование BCP — не реже двух раз в год; обученность персонала — не менее 90 %. Фактический показатель покрытия BCP на данный момент составляет 33 %, что является зоной ближайшего улучшения.</w:t>
      </w:r>
    </w:p>
    <w:p>
      <w:pPr>
        <w:spacing w:before="120" w:after="120" w:line="360" w:lineRule="auto"/>
        <w:jc w:val="left"/>
      </w:pPr>
      <w:r>
        <w:rPr>
          <w:rFonts w:ascii="Times New Roman" w:hAnsi="Times New Roman" w:cs="Times New Roman"/>
          <w:b/>
          <w:i w:val="0"/>
          <w:sz w:val="28"/>
        </w:rPr>
        <w:t>3. Средства управления способностью противостоять инцидентам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Сформирован перечень из 10 средств управления, разделённых на три категории: технические (резервное копирование, SIEM, DRaaS, управление доступом и ИБ), организационные (планы BCP, учения и тестирование, обучение персонала, диверсификация поставщиков, процедура кризисных коммуникаций) и финансовые (страхование киберрисков). По каждому средству указан ответственный — IT-директор, Служба ИБ, Менеджер BCM, HR-директор, Финансовый директор или PR-директор. Полный перечень приведён на рис. 3.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436233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ol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362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imes New Roman" w:hAnsi="Times New Roman" w:cs="Times New Roman"/>
          <w:b w:val="0"/>
          <w:i/>
          <w:sz w:val="24"/>
        </w:rPr>
        <w:t>Рисунок 3 — Средства управления способностью противостоять инцидентам</w:t>
      </w:r>
    </w:p>
    <w:p>
      <w:pPr>
        <w:spacing w:before="120" w:after="120" w:line="360" w:lineRule="auto"/>
        <w:jc w:val="left"/>
      </w:pPr>
      <w:r>
        <w:rPr>
          <w:rFonts w:ascii="Times New Roman" w:hAnsi="Times New Roman" w:cs="Times New Roman"/>
          <w:b/>
          <w:i w:val="0"/>
          <w:sz w:val="28"/>
        </w:rPr>
        <w:t>4. План мониторинга и анализа результативности СМНБ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План мониторинга включает 8 направлений с разной периодичностью — от непрерывного мониторинга доступности IT-сервисов и инцидентов информационной безопасности до ежегодного анкетирования заинтересованных сторон. По каждому направлению определены: объект мониторинга, периодичность, метод, ответственный, критерий успешности и корректирующие действия при отклонении.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501231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nitori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0123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imes New Roman" w:hAnsi="Times New Roman" w:cs="Times New Roman"/>
          <w:b w:val="0"/>
          <w:i/>
          <w:sz w:val="24"/>
        </w:rPr>
        <w:t>Рисунок 4 — План мониторинга и анализа результативности СМНБ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Такая структура плана мониторинга обеспечивает раннее обнаружение отклонений и своевременное запуск корректирующих действий: переключение на резервную инфраструктуру при падении Uptime, обновление планов BCP при изменении оргструктуры, дополнительное обучение при снижении аттестации персонала, разработку планов митигации при появлении незакрытых высоких рисков.</w:t>
      </w:r>
    </w:p>
    <w:p>
      <w:pPr>
        <w:spacing w:before="120" w:after="120" w:line="360" w:lineRule="auto"/>
        <w:jc w:val="left"/>
      </w:pPr>
      <w:r>
        <w:rPr>
          <w:rFonts w:ascii="Times New Roman" w:hAnsi="Times New Roman" w:cs="Times New Roman"/>
          <w:b/>
          <w:i w:val="0"/>
          <w:sz w:val="28"/>
        </w:rPr>
        <w:t>Общий вывод по работе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В ходе выполнения работы на основе стандарта ГОСТ Р ИСО 22301-2014 построена модель системы менеджмента непрерывности бизнеса для IT-компании, работающей в сфере искусственного интеллекта. Идентифицированы 12 критических событий, определены 10 ключевых показателей результативности, сформирован перечень 10 средств управления и план мониторинга из 8 направлений.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Наиболее критичными для выбранного объекта являются киберриски, риски отказа облачной платформы, утечки данных и сбои ML-моделей в продакшене — для них установлен приоритет восстановления «Высокий», MTD от 2 до 24 часов. Для повышения результативности СМНБ в первую очередь необходимо: разработать планы BCP для всех критичных процессов (довести покрытие с 33 % до 100 %), внедрить DRaaS, обеспечить регулярное тестирование BCP (не реже двух раз в год) и провести обучение персонала действиям в чрезвычайных ситуациях.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Результаты работы используются как основа для магистерской диссертации «Разработка системы поддержки принятия решений по оценке рисков внедрения технологий искусственного интеллекта в IT-компании на основе нечёткой логики».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