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Times New Roman" w:hAnsi="Times New Roman" w:cs="Times New Roman"/>
          <w:b w:val="0"/>
          <w:i w:val="0"/>
          <w:sz w:val="28"/>
        </w:rPr>
        <w:t>МИНИСТЕРСТВО НАУКИ И ВЫСШЕГО ОБРАЗОВАНИЯ РОССИЙСКОЙ ФЕДЕРАЦИИ</w:t>
      </w:r>
    </w:p>
    <w:p>
      <w:pPr>
        <w:spacing w:after="0" w:before="0" w:line="276" w:lineRule="auto"/>
        <w:jc w:val="center"/>
      </w:pPr>
      <w:r>
        <w:rPr>
          <w:rFonts w:ascii="Times New Roman" w:hAnsi="Times New Roman" w:cs="Times New Roman"/>
          <w:b w:val="0"/>
          <w:i w:val="0"/>
          <w:sz w:val="24"/>
        </w:rPr>
        <w:t>федеральное государственное автономное образовательное учреждение высшего образования</w:t>
      </w:r>
    </w:p>
    <w:p>
      <w:pPr>
        <w:spacing w:after="0" w:before="0" w:line="276" w:lineRule="auto"/>
        <w:jc w:val="center"/>
      </w:pPr>
      <w:r>
        <w:rPr>
          <w:rFonts w:ascii="Times New Roman" w:hAnsi="Times New Roman" w:cs="Times New Roman"/>
          <w:b w:val="0"/>
          <w:i w:val="0"/>
          <w:sz w:val="28"/>
        </w:rPr>
        <w:t>«САНКТ-ПЕТЕРБУРГСКИЙ ГОСУДАРСТВЕННЫЙ УНИВЕРСИТЕТ АЭРОКОСМИЧЕСКОГО ПРИБОРОСТРОЕНИЯ»</w:t>
      </w:r>
    </w:p>
    <w:p>
      <w:pPr>
        <w:spacing w:after="0" w:before="0" w:line="360" w:lineRule="auto"/>
      </w:pPr>
      <w:r>
        <w:rPr>
          <w:rFonts w:ascii="Times New Roman" w:hAnsi="Times New Roman" w:cs="Times New Roman"/>
          <w:b w:val="0"/>
          <w:i w:val="0"/>
          <w:sz w:val="24"/>
        </w:rPr>
      </w:r>
    </w:p>
    <w:p>
      <w:pPr>
        <w:spacing w:after="0" w:before="0" w:line="360" w:lineRule="auto"/>
      </w:pPr>
      <w:r>
        <w:rPr>
          <w:rFonts w:ascii="Times New Roman" w:hAnsi="Times New Roman" w:cs="Times New Roman"/>
          <w:b w:val="0"/>
          <w:i w:val="0"/>
          <w:sz w:val="24"/>
        </w:rPr>
      </w:r>
    </w:p>
    <w:p>
      <w:pPr>
        <w:spacing w:after="0" w:before="0" w:line="276" w:lineRule="auto"/>
        <w:jc w:val="center"/>
      </w:pPr>
      <w:r>
        <w:rPr>
          <w:rFonts w:ascii="Times New Roman" w:hAnsi="Times New Roman" w:cs="Times New Roman"/>
          <w:b w:val="0"/>
          <w:i w:val="0"/>
          <w:sz w:val="28"/>
        </w:rPr>
        <w:t>КАФЕДРА №5</w:t>
      </w:r>
    </w:p>
    <w:p>
      <w:pPr>
        <w:spacing w:after="0" w:before="0" w:line="360" w:lineRule="auto"/>
      </w:pPr>
      <w:r>
        <w:rPr>
          <w:rFonts w:ascii="Times New Roman" w:hAnsi="Times New Roman" w:cs="Times New Roman"/>
          <w:b w:val="0"/>
          <w:i w:val="0"/>
          <w:sz w:val="24"/>
        </w:rPr>
      </w:r>
    </w:p>
    <w:p>
      <w:pPr>
        <w:spacing w:after="0" w:before="0" w:line="360" w:lineRule="auto"/>
      </w:pPr>
      <w:r>
        <w:rPr>
          <w:rFonts w:ascii="Times New Roman" w:hAnsi="Times New Roman" w:cs="Times New Roman"/>
          <w:b w:val="0"/>
          <w:i w:val="0"/>
          <w:sz w:val="24"/>
        </w:rPr>
      </w:r>
    </w:p>
    <w:p>
      <w:pPr>
        <w:spacing w:after="0" w:before="0" w:line="360" w:lineRule="auto"/>
      </w:pPr>
      <w:r>
        <w:rPr>
          <w:rFonts w:ascii="Times New Roman" w:hAnsi="Times New Roman" w:cs="Times New Roman"/>
          <w:b w:val="0"/>
          <w:i w:val="0"/>
          <w:sz w:val="24"/>
        </w:rPr>
      </w:r>
    </w:p>
    <w:p>
      <w:pPr>
        <w:spacing w:after="0" w:before="0" w:line="276" w:lineRule="auto"/>
        <w:jc w:val="left"/>
      </w:pPr>
      <w:r>
        <w:rPr>
          <w:rFonts w:ascii="Times New Roman" w:hAnsi="Times New Roman" w:cs="Times New Roman"/>
          <w:b w:val="0"/>
          <w:i w:val="0"/>
          <w:sz w:val="28"/>
        </w:rPr>
        <w:t>ОЦЕНКА ПРАКТИЧЕСКОЙ РАБОТЫ</w:t>
      </w:r>
    </w:p>
    <w:p>
      <w:pPr>
        <w:spacing w:after="0" w:before="0" w:line="276" w:lineRule="auto"/>
        <w:jc w:val="left"/>
      </w:pPr>
      <w:r>
        <w:rPr>
          <w:rFonts w:ascii="Times New Roman" w:hAnsi="Times New Roman" w:cs="Times New Roman"/>
          <w:b w:val="0"/>
          <w:i w:val="0"/>
          <w:sz w:val="28"/>
        </w:rPr>
        <w:t>ПРЕПОДАВАТЕЛЬ</w:t>
      </w:r>
    </w:p>
    <w:tbl>
      <w:tblPr>
        <w:tblW w:type="auto" w:w="0"/>
        <w:tblLayout w:type="fixed"/>
        <w:tblLook w:firstColumn="1" w:firstRow="1" w:lastColumn="0" w:lastRow="0" w:noHBand="0" w:noVBand="1" w:val="04A0"/>
      </w:tblPr>
      <w:tblGrid>
        <w:gridCol w:w="3118"/>
        <w:gridCol w:w="3118"/>
        <w:gridCol w:w="3118"/>
      </w:tblGrid>
      <w:tr>
        <w:tc>
          <w:tcPr>
            <w:tcW w:type="dxa" w:w="3402"/>
            <w:tcBorders>
              <w:top w:val="nil"/>
              <w:left w:val="nil"/>
              <w:bottom w:val="nil"/>
              <w:right w:val="nil"/>
            </w:tcBorders>
          </w:tcPr>
          <w:p>
            <w:pPr>
              <w:spacing w:line="240" w:lineRule="auto" w:after="0" w:before="0"/>
              <w:jc w:val="center"/>
            </w:pPr>
            <w:r>
              <w:rPr>
                <w:rFonts w:ascii="Times New Roman" w:hAnsi="Times New Roman" w:cs="Times New Roman"/>
                <w:b w:val="0"/>
                <w:i w:val="0"/>
                <w:sz w:val="24"/>
              </w:rPr>
              <w:t>Профессор, д.т.н., доц.</w:t>
            </w:r>
          </w:p>
        </w:tc>
        <w:tc>
          <w:tcPr>
            <w:tcW w:type="dxa" w:w="3118"/>
            <w:tcBorders>
              <w:top w:val="nil"/>
              <w:left w:val="nil"/>
              <w:bottom w:val="nil"/>
              <w:right w:val="nil"/>
            </w:tcBorders>
          </w:tcPr>
          <w:p>
            <w:pPr>
              <w:spacing w:line="240" w:lineRule="auto" w:after="0" w:before="0"/>
              <w:jc w:val="center"/>
            </w:pPr>
            <w:r>
              <w:rPr>
                <w:rFonts w:ascii="Times New Roman" w:hAnsi="Times New Roman" w:cs="Times New Roman"/>
                <w:b w:val="0"/>
                <w:i w:val="0"/>
                <w:sz w:val="24"/>
              </w:rPr>
            </w:r>
          </w:p>
        </w:tc>
        <w:tc>
          <w:tcPr>
            <w:tcW w:type="dxa" w:w="2835"/>
            <w:tcBorders>
              <w:top w:val="nil"/>
              <w:left w:val="nil"/>
              <w:bottom w:val="nil"/>
              <w:right w:val="nil"/>
            </w:tcBorders>
          </w:tcPr>
          <w:p>
            <w:pPr>
              <w:spacing w:line="240" w:lineRule="auto" w:after="0" w:before="0"/>
              <w:jc w:val="center"/>
            </w:pPr>
            <w:r>
              <w:rPr>
                <w:rFonts w:ascii="Times New Roman" w:hAnsi="Times New Roman" w:cs="Times New Roman"/>
                <w:b w:val="0"/>
                <w:i w:val="0"/>
                <w:sz w:val="24"/>
              </w:rPr>
              <w:t>Н. А. Жильникова</w:t>
            </w:r>
          </w:p>
        </w:tc>
      </w:tr>
      <w:tr>
        <w:tc>
          <w:tcPr>
            <w:tcW w:type="dxa" w:w="3402"/>
            <w:tcBorders>
              <w:top w:val="single" w:sz="6" w:color="000000"/>
              <w:left w:val="nil"/>
              <w:bottom w:val="nil"/>
              <w:right w:val="nil"/>
            </w:tcBorders>
          </w:tcPr>
          <w:p>
            <w:pPr>
              <w:spacing w:line="240" w:lineRule="auto" w:after="0" w:before="0"/>
              <w:jc w:val="center"/>
            </w:pPr>
            <w:r>
              <w:rPr>
                <w:rFonts w:ascii="Times New Roman" w:hAnsi="Times New Roman" w:cs="Times New Roman"/>
                <w:b w:val="0"/>
                <w:i/>
                <w:sz w:val="20"/>
              </w:rPr>
              <w:t>должность, уч. степень,</w:t>
              <w:br/>
              <w:t>звание</w:t>
            </w:r>
          </w:p>
        </w:tc>
        <w:tc>
          <w:tcPr>
            <w:tcW w:type="dxa" w:w="3118"/>
            <w:tcBorders>
              <w:top w:val="single" w:sz="6" w:color="000000"/>
              <w:left w:val="nil"/>
              <w:bottom w:val="nil"/>
              <w:right w:val="nil"/>
            </w:tcBorders>
          </w:tcPr>
          <w:p>
            <w:pPr>
              <w:spacing w:line="240" w:lineRule="auto" w:after="0" w:before="0"/>
              <w:jc w:val="center"/>
            </w:pPr>
            <w:r>
              <w:rPr>
                <w:rFonts w:ascii="Times New Roman" w:hAnsi="Times New Roman" w:cs="Times New Roman"/>
                <w:b w:val="0"/>
                <w:i/>
                <w:sz w:val="20"/>
              </w:rPr>
              <w:t>подпись, дата</w:t>
            </w:r>
          </w:p>
        </w:tc>
        <w:tc>
          <w:tcPr>
            <w:tcW w:type="dxa" w:w="2835"/>
            <w:tcBorders>
              <w:top w:val="single" w:sz="6" w:color="000000"/>
              <w:left w:val="nil"/>
              <w:bottom w:val="nil"/>
              <w:right w:val="nil"/>
            </w:tcBorders>
          </w:tcPr>
          <w:p>
            <w:pPr>
              <w:spacing w:line="240" w:lineRule="auto" w:after="0" w:before="0"/>
              <w:jc w:val="center"/>
            </w:pPr>
            <w:r>
              <w:rPr>
                <w:rFonts w:ascii="Times New Roman" w:hAnsi="Times New Roman" w:cs="Times New Roman"/>
                <w:b w:val="0"/>
                <w:i/>
                <w:sz w:val="20"/>
              </w:rPr>
              <w:t>инициалы, фамилия</w:t>
            </w:r>
          </w:p>
        </w:tc>
      </w:tr>
    </w:tbl>
    <w:p>
      <w:pPr>
        <w:spacing w:after="0" w:before="0" w:line="360" w:lineRule="auto"/>
      </w:pPr>
      <w:r>
        <w:rPr>
          <w:rFonts w:ascii="Times New Roman" w:hAnsi="Times New Roman" w:cs="Times New Roman"/>
          <w:b w:val="0"/>
          <w:i w:val="0"/>
          <w:sz w:val="24"/>
        </w:rPr>
      </w:r>
    </w:p>
    <w:p>
      <w:pPr>
        <w:spacing w:after="0" w:before="0" w:line="360" w:lineRule="auto"/>
      </w:pPr>
      <w:r>
        <w:rPr>
          <w:rFonts w:ascii="Times New Roman" w:hAnsi="Times New Roman" w:cs="Times New Roman"/>
          <w:b w:val="0"/>
          <w:i w:val="0"/>
          <w:sz w:val="24"/>
        </w:rPr>
      </w:r>
    </w:p>
    <w:p>
      <w:pPr>
        <w:spacing w:after="0" w:before="0" w:line="276" w:lineRule="auto"/>
        <w:jc w:val="center"/>
      </w:pPr>
      <w:r>
        <w:rPr>
          <w:rFonts w:ascii="Times New Roman" w:hAnsi="Times New Roman" w:cs="Times New Roman"/>
          <w:b w:val="0"/>
          <w:i w:val="0"/>
          <w:sz w:val="28"/>
        </w:rPr>
        <w:t>Разработка введения к магистерской диссертации</w:t>
      </w:r>
    </w:p>
    <w:p>
      <w:pPr>
        <w:spacing w:after="0" w:before="0" w:line="360" w:lineRule="auto"/>
      </w:pPr>
      <w:r>
        <w:rPr>
          <w:rFonts w:ascii="Times New Roman" w:hAnsi="Times New Roman" w:cs="Times New Roman"/>
          <w:b w:val="0"/>
          <w:i w:val="0"/>
          <w:sz w:val="24"/>
        </w:rPr>
      </w:r>
    </w:p>
    <w:p>
      <w:pPr>
        <w:spacing w:after="0" w:before="0" w:line="276" w:lineRule="auto"/>
        <w:jc w:val="center"/>
      </w:pPr>
      <w:r>
        <w:rPr>
          <w:rFonts w:ascii="Times New Roman" w:hAnsi="Times New Roman" w:cs="Times New Roman"/>
          <w:b w:val="0"/>
          <w:i w:val="0"/>
          <w:sz w:val="28"/>
        </w:rPr>
        <w:t>по дисциплине: Научно-исследовательская работа</w:t>
      </w:r>
    </w:p>
    <w:p>
      <w:pPr>
        <w:spacing w:after="0" w:before="0" w:line="360" w:lineRule="auto"/>
      </w:pPr>
      <w:r>
        <w:rPr>
          <w:rFonts w:ascii="Times New Roman" w:hAnsi="Times New Roman" w:cs="Times New Roman"/>
          <w:b w:val="0"/>
          <w:i w:val="0"/>
          <w:sz w:val="24"/>
        </w:rPr>
      </w:r>
    </w:p>
    <w:p>
      <w:pPr>
        <w:spacing w:after="0" w:before="0" w:line="360" w:lineRule="auto"/>
      </w:pPr>
      <w:r>
        <w:rPr>
          <w:rFonts w:ascii="Times New Roman" w:hAnsi="Times New Roman" w:cs="Times New Roman"/>
          <w:b w:val="0"/>
          <w:i w:val="0"/>
          <w:sz w:val="24"/>
        </w:rPr>
      </w:r>
    </w:p>
    <w:p>
      <w:pPr>
        <w:spacing w:after="0" w:before="0" w:line="360" w:lineRule="auto"/>
      </w:pPr>
      <w:r>
        <w:rPr>
          <w:rFonts w:ascii="Times New Roman" w:hAnsi="Times New Roman" w:cs="Times New Roman"/>
          <w:b w:val="0"/>
          <w:i w:val="0"/>
          <w:sz w:val="24"/>
        </w:rPr>
      </w:r>
    </w:p>
    <w:p>
      <w:pPr>
        <w:spacing w:after="0" w:before="0" w:line="276" w:lineRule="auto"/>
        <w:jc w:val="left"/>
      </w:pPr>
      <w:r>
        <w:rPr>
          <w:rFonts w:ascii="Times New Roman" w:hAnsi="Times New Roman" w:cs="Times New Roman"/>
          <w:b w:val="0"/>
          <w:i w:val="0"/>
          <w:sz w:val="28"/>
        </w:rPr>
        <w:t>РАБОТУ ВЫПОЛНИЛ(А)</w:t>
      </w:r>
    </w:p>
    <w:p>
      <w:pPr>
        <w:spacing w:after="0" w:before="0" w:line="276" w:lineRule="auto"/>
        <w:jc w:val="left"/>
      </w:pPr>
      <w:r>
        <w:rPr>
          <w:rFonts w:ascii="Times New Roman" w:hAnsi="Times New Roman" w:cs="Times New Roman"/>
          <w:b w:val="0"/>
          <w:i w:val="0"/>
          <w:sz w:val="28"/>
        </w:rPr>
        <w:t>СТУДЕНТ(КА) ГР. № М558М</w:t>
      </w:r>
    </w:p>
    <w:tbl>
      <w:tblPr>
        <w:tblW w:type="auto" w:w="0"/>
        <w:tblLayout w:type="fixed"/>
        <w:tblLook w:firstColumn="1" w:firstRow="1" w:lastColumn="0" w:lastRow="0" w:noHBand="0" w:noVBand="1" w:val="04A0"/>
      </w:tblPr>
      <w:tblGrid>
        <w:gridCol w:w="3118"/>
        <w:gridCol w:w="3118"/>
        <w:gridCol w:w="3118"/>
      </w:tblGrid>
      <w:tr>
        <w:tc>
          <w:tcPr>
            <w:tcW w:type="dxa" w:w="3402"/>
            <w:tcBorders>
              <w:top w:val="nil"/>
              <w:left w:val="nil"/>
              <w:bottom w:val="nil"/>
              <w:right w:val="nil"/>
            </w:tcBorders>
          </w:tcPr>
          <w:p>
            <w:pPr>
              <w:spacing w:line="240" w:lineRule="auto" w:after="0" w:before="0"/>
              <w:jc w:val="center"/>
            </w:pPr>
            <w:r>
              <w:rPr>
                <w:rFonts w:ascii="Times New Roman" w:hAnsi="Times New Roman" w:cs="Times New Roman"/>
                <w:b w:val="0"/>
                <w:i w:val="0"/>
                <w:sz w:val="24"/>
              </w:rPr>
            </w:r>
          </w:p>
        </w:tc>
        <w:tc>
          <w:tcPr>
            <w:tcW w:type="dxa" w:w="3118"/>
            <w:tcBorders>
              <w:top w:val="nil"/>
              <w:left w:val="nil"/>
              <w:bottom w:val="nil"/>
              <w:right w:val="nil"/>
            </w:tcBorders>
          </w:tcPr>
          <w:p>
            <w:pPr>
              <w:spacing w:line="240" w:lineRule="auto" w:after="0" w:before="0"/>
              <w:jc w:val="center"/>
            </w:pPr>
            <w:r>
              <w:rPr>
                <w:rFonts w:ascii="Times New Roman" w:hAnsi="Times New Roman" w:cs="Times New Roman"/>
                <w:b w:val="0"/>
                <w:i w:val="0"/>
                <w:sz w:val="24"/>
              </w:rPr>
            </w:r>
          </w:p>
        </w:tc>
        <w:tc>
          <w:tcPr>
            <w:tcW w:type="dxa" w:w="2835"/>
            <w:tcBorders>
              <w:top w:val="nil"/>
              <w:left w:val="nil"/>
              <w:bottom w:val="nil"/>
              <w:right w:val="nil"/>
            </w:tcBorders>
          </w:tcPr>
          <w:p>
            <w:pPr>
              <w:spacing w:line="240" w:lineRule="auto" w:after="0" w:before="0"/>
              <w:jc w:val="center"/>
            </w:pPr>
            <w:r>
              <w:rPr>
                <w:rFonts w:ascii="Times New Roman" w:hAnsi="Times New Roman" w:cs="Times New Roman"/>
                <w:b w:val="0"/>
                <w:i w:val="0"/>
                <w:sz w:val="24"/>
              </w:rPr>
              <w:t>Рослов Д.С.</w:t>
            </w:r>
          </w:p>
        </w:tc>
      </w:tr>
      <w:tr>
        <w:tc>
          <w:tcPr>
            <w:tcW w:type="dxa" w:w="3402"/>
            <w:tcBorders>
              <w:top w:val="single" w:sz="6" w:color="000000"/>
              <w:left w:val="nil"/>
              <w:bottom w:val="nil"/>
              <w:right w:val="nil"/>
            </w:tcBorders>
          </w:tcPr>
          <w:p>
            <w:pPr>
              <w:spacing w:line="240" w:lineRule="auto" w:after="0" w:before="0"/>
              <w:jc w:val="center"/>
            </w:pPr>
            <w:r>
              <w:rPr>
                <w:rFonts w:ascii="Times New Roman" w:hAnsi="Times New Roman" w:cs="Times New Roman"/>
                <w:b w:val="0"/>
                <w:i/>
                <w:sz w:val="20"/>
              </w:rPr>
            </w:r>
          </w:p>
        </w:tc>
        <w:tc>
          <w:tcPr>
            <w:tcW w:type="dxa" w:w="3118"/>
            <w:tcBorders>
              <w:top w:val="single" w:sz="6" w:color="000000"/>
              <w:left w:val="nil"/>
              <w:bottom w:val="nil"/>
              <w:right w:val="nil"/>
            </w:tcBorders>
          </w:tcPr>
          <w:p>
            <w:pPr>
              <w:spacing w:line="240" w:lineRule="auto" w:after="0" w:before="0"/>
              <w:jc w:val="center"/>
            </w:pPr>
            <w:r>
              <w:rPr>
                <w:rFonts w:ascii="Times New Roman" w:hAnsi="Times New Roman" w:cs="Times New Roman"/>
                <w:b w:val="0"/>
                <w:i/>
                <w:sz w:val="20"/>
              </w:rPr>
              <w:t>подпись, дата</w:t>
            </w:r>
          </w:p>
        </w:tc>
        <w:tc>
          <w:tcPr>
            <w:tcW w:type="dxa" w:w="2835"/>
            <w:tcBorders>
              <w:top w:val="single" w:sz="6" w:color="000000"/>
              <w:left w:val="nil"/>
              <w:bottom w:val="nil"/>
              <w:right w:val="nil"/>
            </w:tcBorders>
          </w:tcPr>
          <w:p>
            <w:pPr>
              <w:spacing w:line="240" w:lineRule="auto" w:after="0" w:before="0"/>
              <w:jc w:val="center"/>
            </w:pPr>
            <w:r>
              <w:rPr>
                <w:rFonts w:ascii="Times New Roman" w:hAnsi="Times New Roman" w:cs="Times New Roman"/>
                <w:b w:val="0"/>
                <w:i/>
                <w:sz w:val="20"/>
              </w:rPr>
              <w:t>инициалы, фамилия</w:t>
            </w:r>
          </w:p>
        </w:tc>
      </w:tr>
    </w:tbl>
    <w:p>
      <w:pPr>
        <w:spacing w:after="0" w:before="0" w:line="360" w:lineRule="auto"/>
      </w:pPr>
      <w:r>
        <w:rPr>
          <w:rFonts w:ascii="Times New Roman" w:hAnsi="Times New Roman" w:cs="Times New Roman"/>
          <w:b w:val="0"/>
          <w:i w:val="0"/>
          <w:sz w:val="24"/>
        </w:rPr>
      </w:r>
    </w:p>
    <w:p>
      <w:pPr>
        <w:spacing w:after="0" w:before="0" w:line="360" w:lineRule="auto"/>
      </w:pPr>
      <w:r>
        <w:rPr>
          <w:rFonts w:ascii="Times New Roman" w:hAnsi="Times New Roman" w:cs="Times New Roman"/>
          <w:b w:val="0"/>
          <w:i w:val="0"/>
          <w:sz w:val="24"/>
        </w:rPr>
      </w:r>
    </w:p>
    <w:p>
      <w:pPr>
        <w:spacing w:after="0" w:before="0" w:line="360" w:lineRule="auto"/>
      </w:pPr>
      <w:r>
        <w:rPr>
          <w:rFonts w:ascii="Times New Roman" w:hAnsi="Times New Roman" w:cs="Times New Roman"/>
          <w:b w:val="0"/>
          <w:i w:val="0"/>
          <w:sz w:val="24"/>
        </w:rPr>
      </w:r>
    </w:p>
    <w:p>
      <w:pPr>
        <w:spacing w:after="0" w:before="0" w:line="276" w:lineRule="auto"/>
        <w:jc w:val="center"/>
      </w:pPr>
      <w:r>
        <w:rPr>
          <w:rFonts w:ascii="Times New Roman" w:hAnsi="Times New Roman" w:cs="Times New Roman"/>
          <w:b w:val="0"/>
          <w:i w:val="0"/>
          <w:sz w:val="28"/>
        </w:rPr>
        <w:t>Санкт-Петербург 2026</w:t>
      </w:r>
    </w:p>
    <w:p>
      <w:r>
        <w:br w:type="page"/>
      </w:r>
    </w:p>
    <w:p>
      <w:pPr>
        <w:spacing w:after="160" w:before="0" w:line="360" w:lineRule="auto"/>
        <w:jc w:val="center"/>
      </w:pPr>
      <w:r>
        <w:rPr>
          <w:rFonts w:ascii="Times New Roman" w:hAnsi="Times New Roman" w:cs="Times New Roman"/>
          <w:b/>
          <w:i w:val="0"/>
          <w:sz w:val="28"/>
        </w:rPr>
        <w:t>ВВЕДЕНИЕ</w:t>
      </w:r>
    </w:p>
    <w:p>
      <w:pPr>
        <w:spacing w:after="80" w:before="200" w:line="360" w:lineRule="auto"/>
        <w:ind w:firstLine="709"/>
        <w:jc w:val="both"/>
      </w:pPr>
      <w:r>
        <w:rPr>
          <w:rFonts w:ascii="Times New Roman" w:hAnsi="Times New Roman" w:cs="Times New Roman"/>
          <w:b/>
          <w:i w:val="0"/>
          <w:sz w:val="28"/>
        </w:rPr>
        <w:t>Актуальность исследования.</w:t>
      </w:r>
    </w:p>
    <w:p>
      <w:pPr>
        <w:spacing w:after="40" w:before="0" w:line="360" w:lineRule="auto"/>
        <w:ind w:firstLine="709"/>
        <w:jc w:val="both"/>
      </w:pPr>
      <w:r>
        <w:rPr>
          <w:rFonts w:ascii="Times New Roman" w:hAnsi="Times New Roman" w:cs="Times New Roman"/>
          <w:b w:val="0"/>
          <w:i w:val="0"/>
          <w:sz w:val="28"/>
        </w:rPr>
        <w:t>Технологии искусственного интеллекта (ИИ) стали ключевым фактором цифровой трансформации мировой экономики. По данным McKinsey Global Institute и Stanford AI Index 2024, ежегодные инвестиции в ИИ-решения превышают 250 млрд долл. США, при этом доля IT-сектора в общем объёме внедрений превышает 35 %. В Российской Федерации развитие ИИ закреплено как национальный приоритет: Указ Президента РФ от 10.10.2019 № 490 утвердил Национальную стратегию развития ИИ до 2030 года, объём российского рынка ИИ-технологий в 2024 г. превысил 900 млрд руб. с прогнозом роста до 1,7 трлн руб. к 2026 г.</w:t>
      </w:r>
    </w:p>
    <w:p>
      <w:pPr>
        <w:spacing w:after="40" w:before="0" w:line="360" w:lineRule="auto"/>
        <w:ind w:firstLine="709"/>
        <w:jc w:val="both"/>
      </w:pPr>
      <w:r>
        <w:rPr>
          <w:rFonts w:ascii="Times New Roman" w:hAnsi="Times New Roman" w:cs="Times New Roman"/>
          <w:b w:val="0"/>
          <w:i w:val="0"/>
          <w:sz w:val="28"/>
        </w:rPr>
        <w:t>Однако фактическая результативность ИИ-проектов остаётся низкой: по оценкам Gartner и IDC, от 70 до 85 % инициатив не достигают заявленных целей. Причина — сочетание специфических рисков, нехарактерных для классических IT-проектов: технологическая неопределённость, смещённость обучающих данных, нестабильность моделей (галлюцинации, concept drift), регуляторные и этические ограничения, угрозы информационной безопасности (adversarial-атаки, утечка персональных данных), организационное сопротивление и кадровый дефицит.</w:t>
      </w:r>
    </w:p>
    <w:p>
      <w:pPr>
        <w:spacing w:after="40" w:before="0" w:line="360" w:lineRule="auto"/>
        <w:ind w:firstLine="709"/>
        <w:jc w:val="both"/>
      </w:pPr>
      <w:r>
        <w:rPr>
          <w:rFonts w:ascii="Times New Roman" w:hAnsi="Times New Roman" w:cs="Times New Roman"/>
          <w:b w:val="0"/>
          <w:i w:val="0"/>
          <w:sz w:val="28"/>
        </w:rPr>
        <w:t>Существующие методы (FMEA, экспертные методы, вероятностный анализ) ориентированы на количественные данные и плохо работают при малых выборках прецедентов и качественном характере большинства факторов. Нечёткая логика Л. А. Заде является признанным аппаратом обработки качественной информации в условиях неопределённости, однако существующие нечёткие модели редко учитывают отраслевую специфику ИИ-проектов в IT-секторе.</w:t>
      </w:r>
    </w:p>
    <w:p>
      <w:pPr>
        <w:spacing w:after="40" w:before="0" w:line="360" w:lineRule="auto"/>
        <w:ind w:firstLine="709"/>
        <w:jc w:val="both"/>
      </w:pPr>
      <w:r>
        <w:rPr>
          <w:rFonts w:ascii="Times New Roman" w:hAnsi="Times New Roman" w:cs="Times New Roman"/>
          <w:b w:val="0"/>
          <w:i w:val="0"/>
          <w:sz w:val="28"/>
        </w:rPr>
        <w:t>Таким образом, актуальность исследования обусловлена стратегической значимостью внедрения ИИ-технологий, высокой долей неуспешных ИИ-проектов и недостаточной разработанностью методического и инструментального обеспечения для оценки связанных с ними рисков в IT-компаниях.</w:t>
      </w:r>
    </w:p>
    <w:p>
      <w:pPr>
        <w:spacing w:after="80" w:before="200" w:line="360" w:lineRule="auto"/>
        <w:ind w:firstLine="709"/>
        <w:jc w:val="both"/>
      </w:pPr>
      <w:r>
        <w:rPr>
          <w:rFonts w:ascii="Times New Roman" w:hAnsi="Times New Roman" w:cs="Times New Roman"/>
          <w:b/>
          <w:i w:val="0"/>
          <w:sz w:val="28"/>
        </w:rPr>
        <w:t>Состояние научной разработанности проблемы.</w:t>
      </w:r>
    </w:p>
    <w:p>
      <w:pPr>
        <w:spacing w:after="40" w:before="0" w:line="360" w:lineRule="auto"/>
        <w:ind w:firstLine="709"/>
        <w:jc w:val="both"/>
      </w:pPr>
      <w:r>
        <w:rPr>
          <w:rFonts w:ascii="Times New Roman" w:hAnsi="Times New Roman" w:cs="Times New Roman"/>
          <w:b w:val="0"/>
          <w:i w:val="0"/>
          <w:sz w:val="28"/>
        </w:rPr>
        <w:t>Теоретические основы нечёткой логики заложены в трудах Л. А. Заде, развиты Е. Мамдани, М. Сугено, Т. Такаги. Российская школа представлена работами Д. А. Поспелова, А. Н. Борисова, А. В. Леоненкова, Н. Г. Ярушкиной, А. П. Ротштейна по нечёткому моделированию и СППР. Проблематика управления рисками раскрыта в работах К. З. Билятдинова, Г. В. Гетмановой, стандартах ISO 31000:2018, COSO ERM, PMBoK Guide; применение FMEA — в трудах Дж. Боулза, Х. Лю, J. Mendel.</w:t>
      </w:r>
    </w:p>
    <w:p>
      <w:pPr>
        <w:spacing w:after="40" w:before="0" w:line="360" w:lineRule="auto"/>
        <w:ind w:firstLine="709"/>
        <w:jc w:val="both"/>
      </w:pPr>
      <w:r>
        <w:rPr>
          <w:rFonts w:ascii="Times New Roman" w:hAnsi="Times New Roman" w:cs="Times New Roman"/>
          <w:b w:val="0"/>
          <w:i w:val="0"/>
          <w:sz w:val="28"/>
        </w:rPr>
        <w:t>Вопросы управления рисками ИИ-систем рассматриваются в международных документах NIST AI RMF 1.0 (2023), ISO/IEC 23894:2023, ISO/IEC 42001:2023, а также в работах Дж. Мёкандера, Р. Бинса и групп IBM Responsible AI, Microsoft, MIT-IBM Watson Lab. Отдельные приложения нечёткой логики к оценке IT-рисков представлены у Е. С. Назаревича, И. А. Вершининой, Г. В. Гетмановой.</w:t>
      </w:r>
    </w:p>
    <w:p>
      <w:pPr>
        <w:spacing w:after="40" w:before="0" w:line="360" w:lineRule="auto"/>
        <w:ind w:firstLine="709"/>
        <w:jc w:val="both"/>
      </w:pPr>
      <w:r>
        <w:rPr>
          <w:rFonts w:ascii="Times New Roman" w:hAnsi="Times New Roman" w:cs="Times New Roman"/>
          <w:b w:val="0"/>
          <w:i w:val="0"/>
          <w:sz w:val="28"/>
        </w:rPr>
        <w:t>Выполненный автором систематический обзор по протоколу PRISMA (134 публикации и 47 патентов за 2015–2025 гг.) показывает, что комплексные СППР, объединяющие модифицированный FMEA-анализ с нечётким выводом Мамдани и откалиброванные на отраслевых данных IT-компаний, в открытой литературе практически не представлены. Именно это «белое пятно» — разработка такой гибридной СППР с учётом отраслевой специфики ИИ-проектов в IT — рассматривается в настоящем исследовании.</w:t>
      </w:r>
    </w:p>
    <w:p>
      <w:pPr>
        <w:spacing w:after="80" w:before="200" w:line="360" w:lineRule="auto"/>
        <w:ind w:firstLine="709"/>
        <w:jc w:val="both"/>
      </w:pPr>
      <w:r>
        <w:rPr>
          <w:rFonts w:ascii="Times New Roman" w:hAnsi="Times New Roman" w:cs="Times New Roman"/>
          <w:b/>
          <w:i w:val="0"/>
          <w:sz w:val="28"/>
        </w:rPr>
        <w:t>Объект и предмет исследования.</w:t>
      </w:r>
    </w:p>
    <w:p>
      <w:pPr>
        <w:spacing w:after="40" w:before="0" w:line="360" w:lineRule="auto"/>
        <w:ind w:firstLine="709"/>
        <w:jc w:val="both"/>
      </w:pPr>
      <w:r>
        <w:rPr>
          <w:rFonts w:ascii="Times New Roman" w:hAnsi="Times New Roman" w:cs="Times New Roman"/>
          <w:b w:val="0"/>
          <w:i w:val="0"/>
          <w:sz w:val="28"/>
        </w:rPr>
        <w:t>Объектом исследования являются процессы внедрения технологий искусственного интеллекта в IT-компаниях.</w:t>
      </w:r>
    </w:p>
    <w:p>
      <w:pPr>
        <w:spacing w:after="40" w:before="0" w:line="360" w:lineRule="auto"/>
        <w:ind w:firstLine="709"/>
        <w:jc w:val="both"/>
      </w:pPr>
      <w:r>
        <w:rPr>
          <w:rFonts w:ascii="Times New Roman" w:hAnsi="Times New Roman" w:cs="Times New Roman"/>
          <w:b w:val="0"/>
          <w:i w:val="0"/>
          <w:sz w:val="28"/>
        </w:rPr>
        <w:t>Предмет исследования — методы и средства оценки рисков внедрения технологий искусственного интеллекта на основе аппарата нечёткой логики.</w:t>
      </w:r>
    </w:p>
    <w:p>
      <w:pPr>
        <w:spacing w:after="80" w:before="200" w:line="360" w:lineRule="auto"/>
        <w:ind w:firstLine="709"/>
        <w:jc w:val="both"/>
      </w:pPr>
      <w:r>
        <w:rPr>
          <w:rFonts w:ascii="Times New Roman" w:hAnsi="Times New Roman" w:cs="Times New Roman"/>
          <w:b/>
          <w:i w:val="0"/>
          <w:sz w:val="28"/>
        </w:rPr>
        <w:t>Цель и задачи исследования.</w:t>
      </w:r>
    </w:p>
    <w:p>
      <w:pPr>
        <w:spacing w:after="40" w:before="0" w:line="360" w:lineRule="auto"/>
        <w:ind w:firstLine="709"/>
        <w:jc w:val="both"/>
      </w:pPr>
      <w:r>
        <w:rPr>
          <w:rFonts w:ascii="Times New Roman" w:hAnsi="Times New Roman" w:cs="Times New Roman"/>
          <w:b w:val="0"/>
          <w:i w:val="0"/>
          <w:sz w:val="28"/>
        </w:rPr>
        <w:t>Цель исследования — разработать систему поддержки принятия решений по оценке рисков внедрения технологий искусственного интеллекта в IT-компании на основе аппарата нечёткой логики.</w:t>
      </w:r>
    </w:p>
    <w:p>
      <w:pPr>
        <w:spacing w:after="40" w:before="0" w:line="360" w:lineRule="auto"/>
        <w:ind w:firstLine="709"/>
        <w:jc w:val="both"/>
      </w:pPr>
      <w:r>
        <w:rPr>
          <w:rFonts w:ascii="Times New Roman" w:hAnsi="Times New Roman" w:cs="Times New Roman"/>
          <w:b w:val="0"/>
          <w:i w:val="0"/>
          <w:sz w:val="28"/>
        </w:rPr>
        <w:t>Для достижения цели сформулированы задачи:</w:t>
      </w:r>
    </w:p>
    <w:p>
      <w:pPr>
        <w:spacing w:after="40" w:before="0" w:line="360" w:lineRule="auto"/>
        <w:ind w:firstLine="709"/>
        <w:jc w:val="both"/>
      </w:pPr>
      <w:r>
        <w:rPr>
          <w:rFonts w:ascii="Times New Roman" w:hAnsi="Times New Roman" w:cs="Times New Roman"/>
          <w:b w:val="0"/>
          <w:i w:val="0"/>
          <w:sz w:val="28"/>
        </w:rPr>
        <w:t>1. Проанализировать современное состояние ИИ-технологий в IT-секторе, идентифицировать и классифицировать характерные риски их внедрения.</w:t>
      </w:r>
    </w:p>
    <w:p>
      <w:pPr>
        <w:spacing w:after="40" w:before="0" w:line="360" w:lineRule="auto"/>
        <w:ind w:firstLine="709"/>
        <w:jc w:val="both"/>
      </w:pPr>
      <w:r>
        <w:rPr>
          <w:rFonts w:ascii="Times New Roman" w:hAnsi="Times New Roman" w:cs="Times New Roman"/>
          <w:b w:val="0"/>
          <w:i w:val="0"/>
          <w:sz w:val="28"/>
        </w:rPr>
        <w:t>2. Выполнить систематический обзор существующих методов оценки рисков и обосновать применимость аппарата нечёткой логики.</w:t>
      </w:r>
    </w:p>
    <w:p>
      <w:pPr>
        <w:spacing w:after="40" w:before="0" w:line="360" w:lineRule="auto"/>
        <w:ind w:firstLine="709"/>
        <w:jc w:val="both"/>
      </w:pPr>
      <w:r>
        <w:rPr>
          <w:rFonts w:ascii="Times New Roman" w:hAnsi="Times New Roman" w:cs="Times New Roman"/>
          <w:b w:val="0"/>
          <w:i w:val="0"/>
          <w:sz w:val="28"/>
        </w:rPr>
        <w:t>3. Разработать гибридную модель оценки рисков, включающую модифицированный FMEA-анализ, нечёткий вывод Мамдани и дефаззификацию методом центра тяжести.</w:t>
      </w:r>
    </w:p>
    <w:p>
      <w:pPr>
        <w:spacing w:after="40" w:before="0" w:line="360" w:lineRule="auto"/>
        <w:ind w:firstLine="709"/>
        <w:jc w:val="both"/>
      </w:pPr>
      <w:r>
        <w:rPr>
          <w:rFonts w:ascii="Times New Roman" w:hAnsi="Times New Roman" w:cs="Times New Roman"/>
          <w:b w:val="0"/>
          <w:i w:val="0"/>
          <w:sz w:val="28"/>
        </w:rPr>
        <w:t>4. Сформировать систему лингвистических переменных и базу продукционных правил, откалиброванную на ретроспективных данных IT-проектов.</w:t>
      </w:r>
    </w:p>
    <w:p>
      <w:pPr>
        <w:spacing w:after="40" w:before="0" w:line="360" w:lineRule="auto"/>
        <w:ind w:firstLine="709"/>
        <w:jc w:val="both"/>
      </w:pPr>
      <w:r>
        <w:rPr>
          <w:rFonts w:ascii="Times New Roman" w:hAnsi="Times New Roman" w:cs="Times New Roman"/>
          <w:b w:val="0"/>
          <w:i w:val="0"/>
          <w:sz w:val="28"/>
        </w:rPr>
        <w:t>5. Реализовать СППР программно, провести её верификацию и валидацию, выполнить технико-экономическое обоснование внедрения.</w:t>
      </w:r>
    </w:p>
    <w:p>
      <w:pPr>
        <w:spacing w:after="80" w:before="200" w:line="360" w:lineRule="auto"/>
        <w:ind w:firstLine="709"/>
        <w:jc w:val="both"/>
      </w:pPr>
      <w:r>
        <w:rPr>
          <w:rFonts w:ascii="Times New Roman" w:hAnsi="Times New Roman" w:cs="Times New Roman"/>
          <w:b/>
          <w:i w:val="0"/>
          <w:sz w:val="28"/>
        </w:rPr>
        <w:t>Теоретическая и методологическая база исследования.</w:t>
      </w:r>
    </w:p>
    <w:p>
      <w:pPr>
        <w:spacing w:after="40" w:before="0" w:line="360" w:lineRule="auto"/>
        <w:ind w:firstLine="709"/>
        <w:jc w:val="both"/>
      </w:pPr>
      <w:r>
        <w:rPr>
          <w:rFonts w:ascii="Times New Roman" w:hAnsi="Times New Roman" w:cs="Times New Roman"/>
          <w:b w:val="0"/>
          <w:i w:val="0"/>
          <w:sz w:val="28"/>
        </w:rPr>
        <w:t>Теоретическую базу составляют: теория нечётких множеств и нечёткого вывода (Л. А. Заде, Е. Мамдани, М. Сугено); теория управления рисками (К. З. Билятдинов, ISO 31000, COSO ERM); методология FMEA (IEC 60812); концепции ответственного ИИ (NIST AI RMF, ISO/IEC 23894, 42001); работы по проектированию СППР (А. Н. Борисов, А. В. Леоненков, Н. Г. Ярушкина).</w:t>
      </w:r>
    </w:p>
    <w:p>
      <w:pPr>
        <w:spacing w:after="40" w:before="0" w:line="360" w:lineRule="auto"/>
        <w:ind w:firstLine="709"/>
        <w:jc w:val="both"/>
      </w:pPr>
      <w:r>
        <w:rPr>
          <w:rFonts w:ascii="Times New Roman" w:hAnsi="Times New Roman" w:cs="Times New Roman"/>
          <w:b w:val="0"/>
          <w:i w:val="0"/>
          <w:sz w:val="28"/>
        </w:rPr>
        <w:t>Методологическая база включает: систематический обзор по протоколу PRISMA и патентный поиск (Роспатент, Espacenet, USPTO, WIPO) — для оценки разработанности проблемы; модифицированный FMEA-анализ — для идентификации и приоритизации рисков; нечёткое моделирование и вывод Мамдани — для интегральной оценки рисков в условиях неопределённости; имитационное моделирование — для верификации; экспертные оценки с расчётом коэффициента конкордации Кендалла — для калибровки функций принадлежности; ретроспективный сравнительный анализ — для валидации СППР на исторических данных IT-проектов.</w:t>
      </w:r>
    </w:p>
    <w:p>
      <w:pPr>
        <w:spacing w:after="80" w:before="200" w:line="360" w:lineRule="auto"/>
        <w:ind w:firstLine="709"/>
        <w:jc w:val="both"/>
      </w:pPr>
      <w:r>
        <w:rPr>
          <w:rFonts w:ascii="Times New Roman" w:hAnsi="Times New Roman" w:cs="Times New Roman"/>
          <w:b/>
          <w:i w:val="0"/>
          <w:sz w:val="28"/>
        </w:rPr>
        <w:t>Практическая значимость исследования.</w:t>
      </w:r>
    </w:p>
    <w:p>
      <w:pPr>
        <w:spacing w:after="40" w:before="0" w:line="360" w:lineRule="auto"/>
        <w:ind w:firstLine="709"/>
        <w:jc w:val="both"/>
      </w:pPr>
      <w:r>
        <w:rPr>
          <w:rFonts w:ascii="Times New Roman" w:hAnsi="Times New Roman" w:cs="Times New Roman"/>
          <w:b w:val="0"/>
          <w:i w:val="0"/>
          <w:sz w:val="28"/>
        </w:rPr>
        <w:t>Практическая значимость состоит в следующем: разработанная СППР позволяет проводить интегральную оценку рисков ИИ-проектов на ранней стадии и снижать вероятность их неуспеха; сформированная база продукционных правил может использоваться как методическая основа внутреннего риск-менеджмента и аудита ИИ-инициатив в IT-компаниях; результаты применимы при разработке отраслевых стандартов и рекомендаций для регуляторов (Минцифры России, АНО «Цифровая экономика»); материалы исследования внедряются в учебный процесс ГУАП по направлению 27.04.05 «Инноватика».</w:t>
      </w:r>
    </w:p>
    <w:p>
      <w:pPr>
        <w:spacing w:after="80" w:before="200" w:line="360" w:lineRule="auto"/>
        <w:ind w:firstLine="709"/>
        <w:jc w:val="both"/>
      </w:pPr>
      <w:r>
        <w:rPr>
          <w:rFonts w:ascii="Times New Roman" w:hAnsi="Times New Roman" w:cs="Times New Roman"/>
          <w:b/>
          <w:i w:val="0"/>
          <w:sz w:val="28"/>
        </w:rPr>
        <w:t>Научная новизна исследования.</w:t>
      </w:r>
    </w:p>
    <w:p>
      <w:pPr>
        <w:spacing w:after="40" w:before="0" w:line="360" w:lineRule="auto"/>
        <w:ind w:firstLine="709"/>
        <w:jc w:val="both"/>
      </w:pPr>
      <w:r>
        <w:rPr>
          <w:rFonts w:ascii="Times New Roman" w:hAnsi="Times New Roman" w:cs="Times New Roman"/>
          <w:b w:val="0"/>
          <w:i w:val="0"/>
          <w:sz w:val="28"/>
        </w:rPr>
        <w:t>Научная новизна заключается в следующем:</w:t>
      </w:r>
    </w:p>
    <w:p>
      <w:pPr>
        <w:spacing w:after="40" w:before="0" w:line="360" w:lineRule="auto"/>
        <w:ind w:firstLine="709"/>
        <w:jc w:val="both"/>
      </w:pPr>
      <w:r>
        <w:rPr>
          <w:rFonts w:ascii="Times New Roman" w:hAnsi="Times New Roman" w:cs="Times New Roman"/>
          <w:b w:val="0"/>
          <w:i w:val="0"/>
          <w:sz w:val="28"/>
        </w:rPr>
        <w:t>1. Предложена авторская классификация рисков внедрения ИИ-технологий в IT-компаниях, учитывающая специфические факторы (галлюцинации, concept drift, adversarial-атаки, регуляторно-этические ограничения).</w:t>
      </w:r>
    </w:p>
    <w:p>
      <w:pPr>
        <w:spacing w:after="40" w:before="0" w:line="360" w:lineRule="auto"/>
        <w:ind w:firstLine="709"/>
        <w:jc w:val="both"/>
      </w:pPr>
      <w:r>
        <w:rPr>
          <w:rFonts w:ascii="Times New Roman" w:hAnsi="Times New Roman" w:cs="Times New Roman"/>
          <w:b w:val="0"/>
          <w:i w:val="0"/>
          <w:sz w:val="28"/>
        </w:rPr>
        <w:t>2. Разработана гибридная модель, объединяющая модифицированный FMEA с нечётким выводом Мамдани и дефаззификацией методом центра тяжести; получаемый интегральный риск R∈[0;100] сопровождается категорией и рекомендацией СППР.</w:t>
      </w:r>
    </w:p>
    <w:p>
      <w:pPr>
        <w:spacing w:after="40" w:before="0" w:line="360" w:lineRule="auto"/>
        <w:ind w:firstLine="709"/>
        <w:jc w:val="both"/>
      </w:pPr>
      <w:r>
        <w:rPr>
          <w:rFonts w:ascii="Times New Roman" w:hAnsi="Times New Roman" w:cs="Times New Roman"/>
          <w:b w:val="0"/>
          <w:i w:val="0"/>
          <w:sz w:val="28"/>
        </w:rPr>
        <w:t>3. Сформирована откалиброванная база продукционных правил и предложена методика валидации СППР на ретроспективных данных с применением метрик accuracy, precision, recall и экспертной шкалы согласованности.</w:t>
      </w:r>
    </w:p>
    <w:p>
      <w:pPr>
        <w:spacing w:after="80" w:before="200" w:line="360" w:lineRule="auto"/>
        <w:ind w:firstLine="709"/>
        <w:jc w:val="both"/>
      </w:pPr>
      <w:r>
        <w:rPr>
          <w:rFonts w:ascii="Times New Roman" w:hAnsi="Times New Roman" w:cs="Times New Roman"/>
          <w:b/>
          <w:i w:val="0"/>
          <w:sz w:val="28"/>
        </w:rPr>
        <w:t>Апробация результатов исследования.</w:t>
      </w:r>
    </w:p>
    <w:p>
      <w:pPr>
        <w:spacing w:after="40" w:before="0" w:line="360" w:lineRule="auto"/>
        <w:ind w:firstLine="709"/>
        <w:jc w:val="both"/>
      </w:pPr>
      <w:r>
        <w:rPr>
          <w:rFonts w:ascii="Times New Roman" w:hAnsi="Times New Roman" w:cs="Times New Roman"/>
          <w:b w:val="0"/>
          <w:i w:val="0"/>
          <w:sz w:val="28"/>
        </w:rPr>
        <w:t>Основные положения диссертации докладывались на научно-исследовательских семинарах кафедры № 5 «Инноватики и интегрированных систем качества» ГУАП (Санкт-Петербург, 2026 г.). Результаты планируются к представлению на ежегодной научно-технической конференции ГУАП и международной научно-практической конференции «Инновационная экономика и менеджмент: методы и технологии» (Санкт-Петербург, 2027 г.). По теме диссертации подготовлена научная публикация:</w:t>
      </w:r>
    </w:p>
    <w:p>
      <w:pPr>
        <w:spacing w:after="40" w:before="0" w:line="360" w:lineRule="auto"/>
        <w:ind w:firstLine="709"/>
        <w:jc w:val="both"/>
      </w:pPr>
      <w:r>
        <w:rPr>
          <w:rFonts w:ascii="Times New Roman" w:hAnsi="Times New Roman" w:cs="Times New Roman"/>
          <w:b w:val="0"/>
          <w:i w:val="0"/>
          <w:sz w:val="28"/>
        </w:rPr>
        <w:t>Рослов Д. С. Современное состояние и перспективы применения нечёткой логики для оценки рисков внедрения технологий искусственного интеллекта в IT-компаниях: систематический аналитический обзор / Д. С. Рослов ; науч. рук. Г. В. Гетманова. — Санкт-Петербург : ГУАП, 2026. — 16 с.</w:t>
      </w:r>
    </w:p>
    <w:p>
      <w:pPr>
        <w:spacing w:after="40" w:before="0" w:line="360" w:lineRule="auto"/>
        <w:ind w:firstLine="709"/>
        <w:jc w:val="both"/>
      </w:pPr>
      <w:r>
        <w:rPr>
          <w:rFonts w:ascii="Times New Roman" w:hAnsi="Times New Roman" w:cs="Times New Roman"/>
          <w:b w:val="0"/>
          <w:i w:val="0"/>
          <w:sz w:val="28"/>
        </w:rPr>
        <w:t>Дальнейшая апробация планируется в виде публикаций в изданиях из перечня ВАК и базы РИНЦ.</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