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Encapsulation: wrapping up of data under a single unit! The data is protected!</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If we look at the class it can be viewed as a single unit. Because it holds the data and also the actions that we can take on that data (data - it is fields/variables). So the fact that we create a class in java it means we are using encapsulation. And we can protect the data in the class and for that we use access modifiers, so this process of protecting data that also can be termed as encapsulation.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How? </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By making class attributes (or variables) private</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By making methods as private</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Use getter and setter methods to access private attributes</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Advantages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 Data hiding</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 Flexibility to use variable as read only or write only</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Reusability</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