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Listeners are TestNG annotations that literally “listen” to the events in a script and modify TestNG behavior accordingly. These listeners are applied as interfaces in the code. For example, the most common usage of listeners occurs when taking a screenshot of a test that has failed and the reason for its failure. Listeners also help with logging and generating results.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Benefits of using TestNG Listeners with Selenium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</w:t>
      </w: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Enhanced Test Reporting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 By implementing listeners, you can capture and log events occurring during test execution, such as test case start, test case failure, test case success, etc.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Result Analysis: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Define custom actions to be taken when a test fails, such as capturing a screenshot, logging additional information, or sending a notification. This enables you to take immediate corrective actions and facilitates efficient debugging.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Data Manipulation: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Listeners provide hooks to modify or manipulate test data during runtime. You can use listeners to dynamically update test data, parameters, or configurations before or after each test case execution.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Execution Control: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Listeners allow you to define conditions and logic for executing or skipping tests based on specific criteria.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Test Parallelization: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TestNG parallel test execution and listeners play a crucial role in parallel test management. This can significantly reduce the test execution time, enabling quicker release cycles.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shd w:fill="fce5cd" w:val="clear"/>
          <w:rtl w:val="0"/>
        </w:rPr>
        <w:t xml:space="preserve">+ Custom Test Execution Behaviors: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The flexibility to define custom behaviors during test execution allows you to tailor the testing framework to suit your requirements and enhance (увеличить) test automation capabilities.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