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271.4566929133848" w:firstLine="0"/>
        <w:rPr>
          <w:b w:val="1"/>
          <w:color w:val="98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                       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mvn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 clean test</w:t>
      </w:r>
    </w:p>
    <w:p w:rsidR="00000000" w:rsidDel="00000000" w:rsidP="00000000" w:rsidRDefault="00000000" w:rsidRPr="00000000" w14:paraId="00000002">
      <w:pPr>
        <w:ind w:left="-1275.5905511811022" w:right="-1271.4566929133848" w:firstLine="0"/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271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5715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271.4566929133848" w:firstLine="0"/>
        <w:rPr/>
      </w:pPr>
      <w:r w:rsidDel="00000000" w:rsidR="00000000" w:rsidRPr="00000000">
        <w:rPr>
          <w:rtl w:val="0"/>
        </w:rPr>
        <w:t xml:space="preserve">К примеру в pom.xml у нас есть plagin в котором с помощью тегов &lt;suiteXmlFiles&gt; указаны 2 testNG файла, в принципе мы можем их проранить по отдельности, но с помощью mvn clean test  &lt;- - </w:t>
      </w:r>
      <w:r w:rsidDel="00000000" w:rsidR="00000000" w:rsidRPr="00000000">
        <w:rPr>
          <w:rtl w:val="0"/>
        </w:rPr>
        <w:t xml:space="preserve">проранит</w:t>
      </w:r>
      <w:r w:rsidDel="00000000" w:rsidR="00000000" w:rsidRPr="00000000">
        <w:rPr>
          <w:rtl w:val="0"/>
        </w:rPr>
        <w:t xml:space="preserve"> все указанные  файлы. Также здесь указано  количество потоков (т.е. его здесь можно переопределить), место для отчёта</w:t>
      </w:r>
    </w:p>
    <w:p w:rsidR="00000000" w:rsidDel="00000000" w:rsidP="00000000" w:rsidRDefault="00000000" w:rsidRPr="00000000" w14:paraId="00000005">
      <w:pPr>
        <w:ind w:left="-1275.5905511811022" w:right="-1271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271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271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