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In TestNG, we cannot define a suite in testing source code, but it is represented by one XML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 TestNG существует инструмент в виде конфигурационного XML документа (XML file), он работает поверх аннотаций и является высшим уровнем настройки выполнения тестов. Всё, что перечисленно в </w:t>
      </w:r>
      <w:r w:rsidDel="00000000" w:rsidR="00000000" w:rsidRPr="00000000">
        <w:rPr>
          <w:rtl w:val="0"/>
        </w:rPr>
        <w:t xml:space="preserve">Advantages </w:t>
      </w:r>
      <w:r w:rsidDel="00000000" w:rsidR="00000000" w:rsidRPr="00000000">
        <w:rPr>
          <w:b w:val="1"/>
          <w:color w:val="980000"/>
          <w:rtl w:val="0"/>
        </w:rPr>
        <w:t xml:space="preserve">этого фреймворка может быть достигнута только в комбинации с XML file.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XML может быть трактован как test suite. В документе возможно держать один сьют, и это предопределено тегам &lt;suite&gt;, он является корневым и единственным в документе.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contain one or more tests. 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When TestNG is run, it will execute all of the test cases that are included in the specified test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Он может быть создан вручную или сгенерирован автоматически: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1)В ручную, правой по проекту New→File создать файл с расширением .xml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2)Сгенерить ,Правой по проекту в низу сгенерировать xml или TestNG.xml </w:t>
      </w:r>
      <w:r w:rsidDel="00000000" w:rsidR="00000000" w:rsidRPr="00000000">
        <w:rPr>
          <w:b w:val="1"/>
          <w:color w:val="980000"/>
          <w:rtl w:val="0"/>
        </w:rPr>
        <w:t xml:space="preserve">(Для этого нужен спец плагин)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http://testng.org/testng-1.0.dtd</w:t>
        </w:r>
      </w:hyperlink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name="Annotations"&gt;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name="Name of test"&gt;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name="DemoTestNg.Konfigyrations_1_DataPickers"&gt;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&lt;methods&gt;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&lt;include name="test1_BootstrapDatePicker()"&gt;&lt;/include&gt;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&lt;/methods&gt;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&lt;/class&gt;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name="DemoTestNg.Configyrations_2_ListBox"&gt;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&lt;/class&gt;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b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Документ существует по </w:t>
      </w:r>
      <w:r w:rsidDel="00000000" w:rsidR="00000000" w:rsidRPr="00000000">
        <w:rPr>
          <w:rtl w:val="0"/>
        </w:rPr>
        <w:t xml:space="preserve">предопределённым</w:t>
      </w:r>
      <w:r w:rsidDel="00000000" w:rsidR="00000000" w:rsidRPr="00000000">
        <w:rPr>
          <w:rtl w:val="0"/>
        </w:rPr>
        <w:t xml:space="preserve"> тегам. У тегов могут быть атрибуты.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 A Suite is represented by one XML file, defined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&lt;suite&gt;</w:t>
      </w:r>
      <w:r w:rsidDel="00000000" w:rsidR="00000000" w:rsidRPr="00000000">
        <w:rPr>
          <w:rtl w:val="0"/>
        </w:rPr>
        <w:t xml:space="preserve"> tag.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 test suite is a collection of test cases (can contain 1 or more &lt;Test&gt;)  that share some common settings and parameters.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 A Test is represented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&lt;test&gt;</w:t>
      </w:r>
      <w:r w:rsidDel="00000000" w:rsidR="00000000" w:rsidRPr="00000000">
        <w:rPr>
          <w:rtl w:val="0"/>
        </w:rPr>
        <w:t xml:space="preserve"> and can contain one or more TestNG classes. A test tag defines a group of test methods that belong to a test suite. Can have 1 or more classes. В общем тег &lt;test&gt; это тест кейс. Их может быть в сьюте несколько.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A Class is represented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&lt;class&gt;</w:t>
      </w:r>
      <w:r w:rsidDel="00000000" w:rsidR="00000000" w:rsidRPr="00000000">
        <w:rPr>
          <w:rtl w:val="0"/>
        </w:rPr>
        <w:t xml:space="preserve"> tag. Это тест кейс. We have to provide the correct name to the classes tag, attribute name, which is a combination of your Package name and the Test Case name.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 A Test method is a Java method annotated by @Test methods in the source file. Методы это тест степы (шаги  из тест кейса).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данном файле можно увидеть (и настроить) </w:t>
      </w:r>
      <w:r w:rsidDel="00000000" w:rsidR="00000000" w:rsidRPr="00000000">
        <w:rPr>
          <w:rtl w:val="0"/>
        </w:rPr>
        <w:t xml:space="preserve">поочерёдность</w:t>
      </w:r>
      <w:r w:rsidDel="00000000" w:rsidR="00000000" w:rsidRPr="00000000">
        <w:rPr>
          <w:rtl w:val="0"/>
        </w:rPr>
        <w:t xml:space="preserve"> и порядок выполнения программы на высоком уровне. Здесь хочеш работой на уровне классов или методов, включая или исключая те или иные методы(классы) используя тэги.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color w:val="ff0000"/>
          <w:rtl w:val="0"/>
        </w:rPr>
        <w:t xml:space="preserve">!!! можно </w:t>
      </w:r>
      <w:r w:rsidDel="00000000" w:rsidR="00000000" w:rsidRPr="00000000">
        <w:rPr>
          <w:rtl w:val="0"/>
        </w:rPr>
        <w:t xml:space="preserve">определить несколько .xml файлов для одного и того же проекта, тем самым будет несколько сценариев выполнения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разбивать свои методы по группам. При этом запустить отдельную группу можно только с помощью xml file-a. Смотри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Что такое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с помощью xml можно передавать параметры в метод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 are the TestNG parameters(XML file)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Делать параллельное тестирование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Parallel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Разбор тегов в xml и их атрибутов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&lt;suite&gt;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2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отрожает концепцию тест сьюта.</w:t>
      </w:r>
      <w:r w:rsidDel="00000000" w:rsidR="00000000" w:rsidRPr="00000000">
        <w:rPr>
          <w:rtl w:val="0"/>
        </w:rPr>
        <w:t xml:space="preserve"> В xml документе возможно держать только один сьют, и это предопределено тегам &lt;suite&gt;, он является корневым и единственным в документе.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contain one or more tests &lt;test&gt;.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color w:val="4a4a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The name of the test suite.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color w:val="4a4a4a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verbose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- The level of verbosity (многословие). Здесь речь идёт о логах выполнения текущего xml файла. </w:t>
      </w: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The attribute accepts levels between 1 and 10, соответственно 1 - мало логов, 10 - много.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parallel </w:t>
      </w: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- The way tests should be run. Possible values are "classes", "methods", "tests" and "instances".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читай свои заметки -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https://docs.google.com/document/d/1a2Jat2r_-6itxzPpsESRpvLIHVCDAaWLlTYm1NzRM4c/edit?tab=t.0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color w:val="4a4a4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thread-count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это относится к паралельному выполнению тестов, читай ссылку выше, если кратко то атрибут задаёт количество потоков задействованых в текущем исполнении (не рекомендуется &gt;5).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color w:val="203243"/>
          <w:sz w:val="23"/>
          <w:szCs w:val="23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configfailurepolicy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In the TestNG framework, if there are any configuration failures, which means any issues in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@BeforeTest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, method,(здесь указывается метод с аннотацией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@BeforeTest так как именно в таких методах происходит создание драйвера и разные конфигурационные настройки)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 then usually the test execution skips the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@Test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 methods. To overcome this use configfailurepolicy=“continue” in testsuite.xml .The default value for 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configfailurepolicy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 is </w:t>
      </w:r>
      <w:r w:rsidDel="00000000" w:rsidR="00000000" w:rsidRPr="00000000">
        <w:rPr>
          <w:i w:val="1"/>
          <w:color w:val="203243"/>
          <w:sz w:val="23"/>
          <w:szCs w:val="23"/>
          <w:highlight w:val="white"/>
          <w:rtl w:val="0"/>
        </w:rPr>
        <w:t xml:space="preserve">skip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. (тоько 2 значения у этого атрибута: continue, skip)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color w:val="203243"/>
          <w:sz w:val="23"/>
          <w:szCs w:val="23"/>
          <w:highlight w:val="white"/>
        </w:rPr>
      </w:pP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Другими словами - этот атрибут что-то вроде exception handling в java, Если метод помеченный @BeforeTest падает то все остальные методы (test case steps) пропускаются. Это поведение можно поменять с помощью configfailurepolicy=“continue”. 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color w:val="203243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ВНИМАНИЕ</w:t>
      </w:r>
      <w:r w:rsidDel="00000000" w:rsidR="00000000" w:rsidRPr="00000000">
        <w:rPr>
          <w:color w:val="203243"/>
          <w:sz w:val="23"/>
          <w:szCs w:val="23"/>
          <w:highlight w:val="white"/>
          <w:rtl w:val="0"/>
        </w:rPr>
        <w:t xml:space="preserve"> - речь идёт именно об @BeforeTest аннотации !!!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color w:val="203243"/>
          <w:sz w:val="23"/>
          <w:szCs w:val="23"/>
          <w:highlight w:val="white"/>
        </w:rPr>
      </w:pPr>
      <w:r w:rsidDel="00000000" w:rsidR="00000000" w:rsidRPr="00000000">
        <w:rPr>
          <w:color w:val="203243"/>
          <w:sz w:val="23"/>
          <w:szCs w:val="23"/>
          <w:highlight w:val="white"/>
        </w:rPr>
        <w:drawing>
          <wp:inline distB="114300" distT="114300" distL="114300" distR="114300">
            <wp:extent cx="4571401" cy="19428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401" cy="194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color w:val="2032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&lt;test&gt;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represents the test and can contain one or more TestNG classes. Наверно чаще всего один класс это один тест кейс, т.е. один тест.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4938" cy="13513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35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&lt;class&gt; - represents a TestNG class (and testNG class is basically a Java class, that contains at least one TestNG annotation). It can contain one or more test methods.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a2Jat2r_-6itxzPpsESRpvLIHVCDAaWLlTYm1NzRM4c/edit?tab=t.0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a2Jat2r_-6itxzPpsESRpvLIHVCDAaWLlTYm1NzRM4c/edit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ng.org/testng-1.0.dtd" TargetMode="External"/><Relationship Id="rId7" Type="http://schemas.openxmlformats.org/officeDocument/2006/relationships/hyperlink" Target="https://docs.google.com/document/u/0/d/1ihRlDx-e6DXREv0pvB4EN_zN7GxhOEj4ZvNYGNFQRkY/edit" TargetMode="External"/><Relationship Id="rId8" Type="http://schemas.openxmlformats.org/officeDocument/2006/relationships/hyperlink" Target="https://docs.google.com/document/u/0/d/1fQ979Hah0M1yl465FLdaXbX0mG9uq8e19SgbtfBQUp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