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264" w:lineRule="auto"/>
        <w:jc w:val="center"/>
      </w:pPr>
      <w:r>
        <w:rPr>
          <w:rFonts w:ascii="Calibri" w:hAnsi="Calibri"/>
          <w:b/>
          <w:i w:val="0"/>
          <w:color w:val="172033"/>
          <w:sz w:val="36"/>
        </w:rPr>
        <w:t>Dmitrii Zakharenko</w:t>
      </w:r>
    </w:p>
    <w:p>
      <w:pPr>
        <w:spacing w:before="0" w:after="440" w:line="264" w:lineRule="auto"/>
        <w:jc w:val="center"/>
      </w:pPr>
      <w:r>
        <w:rPr>
          <w:rFonts w:ascii="Calibri" w:hAnsi="Calibri"/>
          <w:b/>
          <w:i w:val="0"/>
          <w:color w:val="172033"/>
          <w:sz w:val="48"/>
        </w:rPr>
        <w:t>Working with Large Language Models</w:t>
      </w:r>
    </w:p>
    <w:p>
      <w:pPr>
        <w:spacing w:before="0" w:after="120" w:line="264" w:lineRule="auto"/>
        <w:jc w:val="center"/>
      </w:pPr>
      <w:r>
        <w:rPr>
          <w:rFonts w:ascii="Calibri" w:hAnsi="Calibri"/>
          <w:b/>
          <w:i w:val="0"/>
          <w:color w:val="2E74B5"/>
          <w:sz w:val="60"/>
        </w:rPr>
        <w:t>CausalAtlas</w:t>
      </w:r>
    </w:p>
    <w:p>
      <w:pPr>
        <w:spacing w:before="0" w:after="560" w:line="264" w:lineRule="auto"/>
        <w:jc w:val="center"/>
      </w:pPr>
      <w:r>
        <w:rPr>
          <w:rFonts w:ascii="Calibri" w:hAnsi="Calibri"/>
          <w:b w:val="0"/>
          <w:i w:val="0"/>
          <w:color w:val="52627A"/>
          <w:sz w:val="30"/>
        </w:rPr>
        <w:t>Auditable mechanistic reasoning for biomedical discovery</w:t>
      </w:r>
    </w:p>
    <w:p>
      <w:pPr>
        <w:spacing w:before="0" w:after="160" w:line="264" w:lineRule="auto"/>
        <w:jc w:val="center"/>
      </w:pPr>
      <w:r>
        <w:rPr>
          <w:rFonts w:ascii="Calibri" w:hAnsi="Calibri"/>
          <w:b w:val="0"/>
          <w:i w:val="0"/>
          <w:color w:val="172033"/>
          <w:sz w:val="24"/>
        </w:rPr>
        <w:t>Instructors: Suhail Yazijy // Katharina Matulla</w:t>
      </w:r>
    </w:p>
    <w:p>
      <w:pPr>
        <w:spacing w:before="0" w:after="400" w:line="264" w:lineRule="auto"/>
        <w:jc w:val="center"/>
      </w:pPr>
      <w:r>
        <w:rPr>
          <w:rFonts w:ascii="Calibri" w:hAnsi="Calibri"/>
          <w:b w:val="0"/>
          <w:i w:val="0"/>
          <w:color w:val="172033"/>
          <w:sz w:val="24"/>
        </w:rPr>
        <w:t>Date: 29 July 2026</w:t>
      </w:r>
    </w:p>
    <w:p>
      <w:pPr>
        <w:spacing w:before="0" w:after="120" w:line="264" w:lineRule="auto"/>
        <w:jc w:val="center"/>
      </w:pPr>
      <w:r>
        <w:rPr>
          <w:rFonts w:ascii="Calibri" w:hAnsi="Calibri"/>
          <w:b w:val="0"/>
          <w:i/>
          <w:color w:val="52627A"/>
          <w:sz w:val="22"/>
        </w:rPr>
        <w:t>Technical Project Report</w:t>
      </w:r>
    </w:p>
    <w:p>
      <w:pPr>
        <w:spacing w:before="0" w:after="0" w:line="264" w:lineRule="auto"/>
        <w:jc w:val="center"/>
      </w:pPr>
      <w:r>
        <w:rPr>
          <w:rFonts w:ascii="Calibri" w:hAnsi="Calibri"/>
          <w:b w:val="0"/>
          <w:i w:val="0"/>
          <w:color w:val="52627A"/>
          <w:sz w:val="19"/>
        </w:rPr>
        <w:t>Repository: https://github.com/dmitriizakharenko/causalatlas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CausalAtlas is a vertical biomedical-research agent for turning a disease–target question into an auditable mechanistic argument. Its output is not a free-form paragraph: it is a provenance-backed evidence graph, a documented novelty classification, a falsifiable hypothesis and an experiment design.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architecture combines language-model agents with deterministic tool-backed agents. LLMs handle interpretation-heavy tasks such as literature reasoning, mechanistic extraction, novelty classification, hypothesis generation and peer review. Deterministic code handles persistence, event translation, graph merging, loop detection, topology metrics, contradiction/gap scans and API behavior. This division improves reproducibility and prevents safety-critical structure from depending on model fluency alone.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Agentic architecture: sequential agents use tools, artifacts and checkpoints to solve a multi-stage research problem.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Context engineering: the root AGENTS.md, per-agent contracts and reusable SKILL.md procedures provide structured context and durable constraints.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Autonomy slider: autocomplete, supervised and let_it_rip modes control where human approval is required.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Evaluation flywheel: historical failure cases are scored in an eval dashboard, with an optional independent live judge.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Safety: provenance, contradiction preservation, novelty gating, explicit uncertainty and falsification criteria constrain unsupported claims.</w:t>
      </w:r>
    </w:p>
    <w:p>
      <w:pPr>
        <w:pStyle w:val="Heading1"/>
      </w:pPr>
      <w:r>
        <w:t>2. Problem and motivation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Biomedical mechanism discovery has a specific failure mode: a model can produce a plausible causal story that is already published, weakly sourced or impossible to falsify. A stronger single prompt does not solve this architectural problem because retrieval, validation, novelty checking and experiment design have different incentives and failure modes.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CausalAtlas separates the workflow into explicit stages: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66E"/>
                <w:sz w:val="18"/>
              </w:rPr>
              <w:t>PIPELINE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72033"/>
                <w:sz w:val="22"/>
              </w:rPr>
              <w:t>Disease + target → canonical baseline → literature → verification → quality → extraction → graph → novelty gate → hypothesis → peer review → experiment.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knowledge graph is deliberately treated as a graph of published evidence, not as biological truth. Conflicting edges remain visible with separate provenance.</w:t>
      </w:r>
    </w:p>
    <w:p>
      <w:pPr>
        <w:pStyle w:val="Heading1"/>
      </w:pPr>
      <w:r>
        <w:t>3. System architecture</w:t>
      </w:r>
    </w:p>
    <w:p>
      <w:pPr>
        <w:pStyle w:val="Heading2"/>
      </w:pPr>
      <w:r>
        <w:t>3.1 Runtime layers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4900"/>
        <w:gridCol w:w="2960"/>
      </w:tblGrid>
      <w:tr>
        <w:trPr>
          <w:tblHeader w:val="true"/>
          <w:cantSplit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Layer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Responsibility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Location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Context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Project constraints, agent contracts and reusable procedures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AGENTS.md, agents/, skills/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Execution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Provider adapters, orchestration, JSONL translation, persistence, API and SSE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backend/app/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Scientific state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Run artifacts, checkpoints and cumulative disease graphs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data/sessions/, data/graphs/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User experience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Launch, runs, graph explorer, evidence, eval, replay and presentation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frontend/src/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pStyle w:val="Heading2"/>
      </w:pPr>
      <w:r>
        <w:t>3.2 Agent model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In this report, “agent” means a goal-bounded component with an explicit contract, input/output artifacts and a place in the decision process. It does not imply that every stage must call an LLM.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200"/>
        <w:gridCol w:w="5660"/>
      </w:tblGrid>
      <w:tr>
        <w:trPr>
          <w:tblHeader w:val="true"/>
          <w:cantSplit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Stage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Type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Role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01–05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LLM/tool-assisted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Canonical baseline, literature retrieval, publication verification, quality interpretation and mechanistic extraction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06–09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Deterministic/tool-backed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Graph merge, loop discovery, topology analysis and contradiction/gap detection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10–13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LLM/tool-assisted with gates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Novelty verification, hypothesis generation, peer review and experiment design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00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Orchestration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Sequencing, autonomy pauses, persistence and resume behavior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Independent eval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Blind live judge for a completed hypothesis; never part of hypothesis generation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Claude provider uses the native CLI orchestration path. The Codex provider uses sequential codex exec --json calls for language-heavy stages and deterministic Python for graph stages. Both providers are normalized into the same UI event model.</w:t>
      </w:r>
    </w:p>
    <w:p>
      <w:pPr>
        <w:pStyle w:val="Heading1"/>
      </w:pPr>
      <w:r>
        <w:t>4. Context engineering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Context is separated into two layers: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AGENTS.md defines who is responsible for a task, required inputs and outputs, hard constraints, failure rules and success criteria.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SKILL.md defines reusable procedures such as PubMed retrieval, canonical database lookup, novelty verification, contradiction detection and graph export.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runtime injects relevant contracts, skills, upstream artifacts, budgets and checkpoint paths into each stage. This makes the procedure reviewable and editable without burying the scientific method inside Python code.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Never invent papers, PMIDs, identifiers or experimental results.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Retain parallel edges when evidence conflicts.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Keep canonical database provenance distinct from PMID provenance.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Treat zero-hit searches as insufficient evidence by themselves.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Route A/B/C novelty outcomes away from hypothesis generation.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Persist failed and paused states rather than fabricating downstream output.</w:t>
      </w:r>
    </w:p>
    <w:p>
      <w:pPr>
        <w:pStyle w:val="Heading1"/>
      </w:pPr>
      <w:r>
        <w:t>5. Autonomy slider and human control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tblHeader w:val="true"/>
          <w:cantSplit/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Mode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Human checkpoint behavior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autocomplete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Pause after every agent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supervised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Run evidence construction, then pause at novelty and experiment checkpoints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let_it_rip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Run without approval pauses while retaining the full trace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Approval, rejection and edit decisions are persisted as interventions. Autonomy changes execution policy; it does not weaken novelty or safety rules.</w:t>
      </w:r>
    </w:p>
    <w:p>
      <w:pPr>
        <w:pStyle w:val="Heading1"/>
      </w:pPr>
      <w:r>
        <w:t>6. Evidence and novelty safety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novelty gate is the most safety-critical component. It has two distinct checks: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Structural originality: reject a candidate as RESTATED when it substantially repeats a single source paper’s conclusion.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Independent external search: search the specific causal chain, record queries and results, and classify the candidate as A–E.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060"/>
      </w:tblGrid>
      <w:tr>
        <w:trPr>
          <w:tblHeader w:val="true"/>
          <w:cantSplit/>
          <w:tblHeader w:val="true"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Class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>Routing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A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Established consensus: fold into the evidence graph.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B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Previously published: fold into the graph.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Conflicting literature: route to contradiction handling.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D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Partially established: eligible for hypothesis generation.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E</w:t>
            </w:r>
          </w:p>
        </w:tc>
        <w:tc>
          <w:tcPr>
            <w:tcW w:type="dxa" w:w="8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72033"/>
                <w:sz w:val="20"/>
              </w:rPr>
              <w:t>Potentially novel: eligible for hypothesis generation, subject to review.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tcMar>
              <w:top w:w="140" w:type="dxa"/>
              <w:start w:w="120" w:type="dxa"/>
              <w:bottom w:w="14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66E"/>
                <w:sz w:val="18"/>
              </w:rPr>
              <w:t>GATE RULE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72033"/>
                <w:sz w:val="22"/>
              </w:rPr>
              <w:t>Only D/E candidates can proceed. They are eligibility classes, not guarantees of novelty or truth.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b w:val="0"/>
          <w:i w:val="0"/>
          <w:color w:val="172033"/>
          <w:sz w:val="22"/>
        </w:rPr>
      </w:r>
    </w:p>
    <w:p>
      <w:pPr>
        <w:pStyle w:val="Heading1"/>
      </w:pPr>
      <w:r>
        <w:t>7. Evaluation flywheel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project includes a deterministic historical backfill for Sessions 001–003. These sessions contain the founding failure cases: a previously accepted candidate that was a single-paper restatement and another mechanism that had already been established in the literature.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Total scored sessions and covered historical sessions.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Outcome counts for false positives, correct rejections and pending validation.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Historical false-positive catch rate.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Future live-judge agreement rate.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verified offline backfill produced five historical eval records and a retroactive catch rate of 1.0 for the documented historical gate failures. The optional agent14_eval_judge is separated from the pipeline and runs only when an auditor requests it for a completed hypothesis.</w:t>
      </w:r>
    </w:p>
    <w:p>
      <w:pPr>
        <w:pStyle w:val="Heading1"/>
      </w:pPr>
      <w:r>
        <w:t>8. Prototype interface and demo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Launch &amp; Runs: disease/target input and autonomy selection.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Graph Explorer: graph selection, node search, provenance and edge inspection.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Agent Architecture: contracts, skills and deterministic stages.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Evidence Dashboard: evidence, novelty, hypotheses and experiment artifacts.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Eval Dashboard: historical and future judge results.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Recorded Demo: read-only guided replay from an embedded completed-run snapshot.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Presentation: browser-based narrative walkthrough.</w:t>
      </w:r>
    </w:p>
    <w:p>
      <w:pPr>
        <w:spacing w:before="0" w:after="120" w:line="264" w:lineRule="auto"/>
      </w:pPr>
      <w:r>
        <w:rPr>
          <w:rFonts w:ascii="Calibri" w:hAnsi="Calibri"/>
          <w:b/>
          <w:i w:val="0"/>
          <w:color w:val="1F4D78"/>
          <w:sz w:val="22"/>
        </w:rPr>
        <w:t>Recommended manual routes after startup: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http://127.0.0.1:5173/?offline=1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http://127.0.0.1:5173/demo.html#/demo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http://127.0.0.1:5173/presentation</w:t>
      </w:r>
    </w:p>
    <w:p>
      <w:pPr>
        <w:pStyle w:val="ListBullet"/>
        <w:spacing w:after="60"/>
      </w:pPr>
      <w:r>
        <w:rPr>
          <w:rFonts w:ascii="Calibri" w:hAnsi="Calibri"/>
          <w:color w:val="2E74B5"/>
          <w:sz w:val="22"/>
        </w:rPr>
        <w:t>http://127.0.0.1:8000/docs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recorded replay is intentionally read-only and does not require credentials, PubMed access or LLM quota.</w:t>
      </w:r>
    </w:p>
    <w:p>
      <w:pPr>
        <w:pStyle w:val="Heading1"/>
      </w:pPr>
      <w:r>
        <w:t>9. Reproducibility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exact procedure is documented in docs/REPRODUCIBILITY.md. The deterministic offline verification path is:</w:t>
      </w:r>
    </w:p>
    <w:p>
      <w:pPr>
        <w:spacing w:after="160"/>
        <w:ind w:left="360"/>
      </w:pPr>
      <w:r>
        <w:rPr>
          <w:rFonts w:ascii="Courier New" w:hAnsi="Courier New"/>
          <w:color w:val="172033"/>
          <w:sz w:val="19"/>
        </w:rPr>
        <w:t>cd backend</w:t>
        <w:br/>
        <w:t>./.venv/bin/python -m pytest -q</w:t>
        <w:br/>
        <w:br/>
        <w:t>cd ../frontend</w:t>
        <w:br/>
        <w:t>npm ci</w:t>
        <w:br/>
        <w:t>npm run lint</w:t>
        <w:br/>
        <w:t>npm run build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Backend: 161 passed, 6 live tests deselected.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Frontend: lint passed.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Frontend: TypeScript build passed.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Frontend: Vite production build passed.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API health: status ok, Codex provider, 13 pipeline agents.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Recorded replay endpoint: completed read-only replay available.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Live LLM runs are intentionally opt-in. They require a locally authenticated Claude or Codex CLI and may consume external quota. No browser credential or API key is required by the offline demo.</w:t>
      </w:r>
    </w:p>
    <w:p>
      <w:pPr>
        <w:pStyle w:val="Heading1"/>
      </w:pPr>
      <w:r>
        <w:t>10. Security and limitations</w:t>
      </w:r>
    </w:p>
    <w:p>
      <w:pPr>
        <w:spacing w:before="0" w:after="120" w:line="264" w:lineRule="auto"/>
      </w:pPr>
      <w:r>
        <w:rPr>
          <w:rFonts w:ascii="Calibri" w:hAnsi="Calibri"/>
          <w:b w:val="0"/>
          <w:i w:val="0"/>
          <w:color w:val="172033"/>
          <w:sz w:val="22"/>
        </w:rPr>
        <w:t>The repository tracks .env.example, not local .env files. Credentials remain in the CLI’s user-level configuration and are never placed in frontend VITE_* variables.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Live literature and LLM quality depends on external services and searchable coverage.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Novelty classification is a documented search-based judgment, not proof of global absence.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Deterministic agents improve repeatability but cannot replace scientific expert review.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172033"/>
          <w:sz w:val="22"/>
        </w:rPr>
        <w:t>The project is research software, not medical advice or a clinical decision 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Large Language Models — CausalAtlas</dc:title>
  <dc:subject>Final project technical submission</dc:subject>
  <dc:creator>Dmitrii Zakharenko</dc:creator>
  <cp:keywords>vertical agent, biomedical discovery, provenance, novelty, reproducibility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