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ecccd9943c33c375992119cd60fdae67817fe3"/>
    <w:p>
      <w:pPr>
        <w:pStyle w:val="Heading1"/>
      </w:pPr>
      <w:r>
        <w:t xml:space="preserve">Dosimetric–Response Modeling in Glioblastoma Using the Open CFB-GBM Cohort: A TCP Pipeline Feasibility Study</w:t>
      </w:r>
    </w:p>
    <w:p>
      <w:pPr>
        <w:pStyle w:val="FirstParagraph"/>
      </w:pPr>
      <w:r>
        <w:rPr>
          <w:b/>
          <w:bCs/>
        </w:rPr>
        <w:t xml:space="preserve">Draft manuscript</w:t>
      </w:r>
      <w:r>
        <w:t xml:space="preserve"> </w:t>
      </w:r>
      <w:r>
        <w:t xml:space="preserve">— verified results from</w:t>
      </w:r>
      <w:r>
        <w:t xml:space="preserve"> </w:t>
      </w:r>
      <w:r>
        <w:rPr>
          <w:rStyle w:val="VerbatimChar"/>
        </w:rPr>
        <w:t xml:space="preserve">reports/RESULTS.md</w:t>
      </w:r>
      <w:r>
        <w:t xml:space="preserve"> </w:t>
      </w:r>
      <w:r>
        <w:t xml:space="preserve">(regenerate: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).</w:t>
      </w:r>
      <w:r>
        <w:br/>
      </w:r>
      <w:r>
        <w:t xml:space="preserve">Reference map:</w:t>
      </w:r>
      <w:r>
        <w:t xml:space="preserve"> </w:t>
      </w:r>
      <w:r>
        <w:rPr>
          <w:rStyle w:val="VerbatimChar"/>
        </w:rPr>
        <w:t xml:space="preserve">reports/literature_table.csv</w:t>
      </w:r>
      <w:r>
        <w:t xml:space="preserve"> </w:t>
      </w:r>
      <w:r>
        <w:t xml:space="preserve">(ref_id 1–18).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Tumor control probability (TCP) models relate radiotherapy dose to local tumour control [4,5]. Open imaging cohorts promise reproducible validation, but routine clinical data often lack classical TCP endpoints and dose heterogeneity [7].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built a reproducible Python pipeline on the TCIA CFB-GBM cohort (n=190 after DVH quality control) [8]. Four TCP models (Poisson, logistic, probit, gEUD) [4–6] were fit with bootstrap confidence intervals [18]. Version 3 supplementary data (RANO imaging response [12,13], n=137 with t0→t1 labels) were integrated [8,9]. We audited confounding, compared OS-based vs RANO-based endpoints, and performed within-arm analyses stratified by fractionation scheme (60 Gy/30 fr vs 40.05 Gy/15 fr) [2,3,15].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Pooled EQD2 discriminated an OS median-split proxy (ROC AUC≈0.68) but not RANO non-progressive disease when used as a dose-only TCP input (AUC≈0.43). After adjusting for fractionation scheme,</w:t>
      </w:r>
      <w:r>
        <w:t xml:space="preserve"> </w:t>
      </w:r>
      <w:r>
        <w:rPr>
          <w:b/>
          <w:bCs/>
        </w:rPr>
        <w:t xml:space="preserve">pooled GTV volume + clinical covariates achieved AUC≈0.72</w:t>
      </w:r>
      <w:r>
        <w:t xml:space="preserve"> </w:t>
      </w:r>
      <w:r>
        <w:t xml:space="preserve">(n=137); LOOCV AUC≈0.64. Within the hypofractionated arm (n=34) [3,15], pre-treatment GTV volume predicted RANO non-PD (multivariable in-sample AUC=0.90;</w:t>
      </w:r>
      <w:r>
        <w:t xml:space="preserve"> </w:t>
      </w:r>
      <w:r>
        <w:rPr>
          <w:b/>
          <w:bCs/>
        </w:rPr>
        <w:t xml:space="preserve">LOOCV AUC=0.74</w:t>
      </w:r>
      <w:r>
        <w:t xml:space="preserve">). PyRadiomics features (t1gd GTV t0, v3 TSV) [9,17] outperformed DVH volume alone for RANO (top-5 in-sample AUC≈0.78 vs 0.71;</w:t>
      </w:r>
      <w:r>
        <w:t xml:space="preserve"> </w:t>
      </w:r>
      <w:r>
        <w:rPr>
          <w:b/>
          <w:bCs/>
        </w:rPr>
        <w:t xml:space="preserve">nested 5-fold CV AUC≈0.74 vs 0.70</w:t>
      </w:r>
      <w:r>
        <w:t xml:space="preserve">). GTV volume from DVH matched RANO t0 segmentation volumes (Spearman ρ=1.00, n=141) [8].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Classical pooled TCP dose–response validation is not supported on CFB-GBM; however,</w:t>
      </w:r>
      <w:r>
        <w:t xml:space="preserve"> </w:t>
      </w:r>
      <w:r>
        <w:rPr>
          <w:b/>
          <w:bCs/>
        </w:rPr>
        <w:t xml:space="preserve">tumour burden models</w:t>
      </w:r>
      <w:r>
        <w:t xml:space="preserve"> </w:t>
      </w:r>
      <w:r>
        <w:t xml:space="preserve">(volume and radiomics) predict early RANO when fractionation confounding is addressed. We provide an open pipeline, LOOCV benchmarks, and a feasibility checklist for TCP studies on routine RT datasets [7].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glioblastoma; tumor control probability; DVH; RANO; open data; CFB-GBM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Glioblastoma remains the most common malignant primary brain tumour in adults. Standard treatment includes maximal safe resection followed by radiotherapy with concurrent temozolomide [1]. Despite uniform protocols, outcome varies widely, motivating dose–response and imaging biomarker research [2,9].</w:t>
      </w:r>
    </w:p>
    <w:p>
      <w:pPr>
        <w:pStyle w:val="BodyText"/>
      </w:pPr>
      <w:r>
        <w:t xml:space="preserve">In elderly or poor-performance patients, hypofractionated schedules (e.g. 40 Gy in 15 fractions) are commonly used as an alternative to 60 Gy in 30 fractions [2,3,15]. TCP models estimate the probability of sterilising clonogenic tumour cells as a function of dose and radiobiological parameters [4,5]. They are widely used in treatment planning research but require (i) a well-defined tumour control endpoint, (ii) inter-patient dose variation, and (iii) sufficient sample size [7].</w:t>
      </w:r>
    </w:p>
    <w:p>
      <w:pPr>
        <w:pStyle w:val="BodyText"/>
      </w:pPr>
      <w:r>
        <w:t xml:space="preserve">The CFB-GBM dataset (Centre François Baclesse, n=264) provides pre- and post-treatment MRI, RTDOSE, GTV contours, clinical covariates, and—since June 2026—RANO response labels [8–10]. We asked:</w:t>
      </w:r>
      <w:r>
        <w:t xml:space="preserve"> </w:t>
      </w:r>
      <w:r>
        <w:rPr>
          <w:b/>
          <w:bCs/>
        </w:rPr>
        <w:t xml:space="preserve">can a standard TCP pipeline be validated on this open cohort, and if not, what does fail and where might signal remain?</w:t>
      </w:r>
    </w:p>
    <w:p>
      <w:r>
        <w:pict>
          <v:rect style="width:0;height:1.5pt" o:hralign="center" o:hrstd="t" o:hr="t"/>
        </w:pict>
      </w:r>
    </w:p>
    <w:bookmarkEnd w:id="10"/>
    <w:bookmarkStart w:id="18" w:name="materials-and-methods"/>
    <w:p>
      <w:pPr>
        <w:pStyle w:val="Heading2"/>
      </w:pPr>
      <w:r>
        <w:t xml:space="preserve">2. Materials and Methods</w:t>
      </w:r>
    </w:p>
    <w:bookmarkStart w:id="12" w:name="dataset-and-cohort"/>
    <w:p>
      <w:pPr>
        <w:pStyle w:val="Heading3"/>
      </w:pPr>
      <w:r>
        <w:t xml:space="preserve">2.1 Dataset and cohort</w:t>
      </w:r>
    </w:p>
    <w:p>
      <w:pPr>
        <w:pStyle w:val="FirstParagraph"/>
      </w:pPr>
      <w:r>
        <w:t xml:space="preserve">Clinical and imaging metadata were downloaded from TCIA (Version 3, DOI:</w:t>
      </w:r>
      <w:r>
        <w:t xml:space="preserve"> </w:t>
      </w:r>
      <w:hyperlink r:id="rId11">
        <w:r>
          <w:rPr>
            <w:rStyle w:val="Hyperlink"/>
          </w:rPr>
          <w:t xml:space="preserve">10.7937/v9pn-2f72</w:t>
        </w:r>
      </w:hyperlink>
      <w:r>
        <w:t xml:space="preserve">) [8]. The public CFB-GBM release provides</w:t>
      </w:r>
      <w:r>
        <w:t xml:space="preserve"> </w:t>
      </w:r>
      <w:r>
        <w:rPr>
          <w:b/>
          <w:bCs/>
        </w:rPr>
        <w:t xml:space="preserve">pre-processed NIfTI</w:t>
      </w:r>
      <w:r>
        <w:t xml:space="preserve"> </w:t>
      </w:r>
      <w:r>
        <w:t xml:space="preserve">(skull-stripped, co-registered) rather than raw DICOM-RT; RTPLAN and RTSTRUCT DICOM files are therefore not available in the TCIA package. We used</w:t>
      </w:r>
      <w:r>
        <w:t xml:space="preserve"> </w:t>
      </w:r>
      <w:r>
        <w:rPr>
          <w:b/>
          <w:bCs/>
        </w:rPr>
        <w:t xml:space="preserve">RTDOSE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GTV</w:t>
      </w:r>
      <w:r>
        <w:t xml:space="preserve"> </w:t>
      </w:r>
      <w:r>
        <w:t xml:space="preserve">segmentation masks at t0, which is the structure set provided for dosimetric analysis.</w:t>
      </w:r>
      <w:r>
        <w:t xml:space="preserve"> </w:t>
      </w:r>
      <w:r>
        <w:rPr>
          <w:b/>
          <w:bCs/>
        </w:rPr>
        <w:t xml:space="preserve">CTV and PTV contours are not included</w:t>
      </w:r>
      <w:r>
        <w:t xml:space="preserve"> </w:t>
      </w:r>
      <w:r>
        <w:t xml:space="preserve">in this cohort; all DVH metrics refer to GTV only.</w:t>
      </w:r>
    </w:p>
    <w:p>
      <w:pPr>
        <w:pStyle w:val="BodyText"/>
      </w:pPr>
      <w:r>
        <w:t xml:space="preserve">Inclusion required t0 RTDOSE and GTV NIfTI, known fractionation dose and fraction number. One patient was excluded after DVH QC (Dmean=0 Gy), yielding</w:t>
      </w:r>
      <w:r>
        <w:t xml:space="preserve"> </w:t>
      </w:r>
      <w:r>
        <w:rPr>
          <w:b/>
          <w:bCs/>
        </w:rPr>
        <w:t xml:space="preserve">n=190</w:t>
      </w:r>
      <w:r>
        <w:t xml:space="preserve"> </w:t>
      </w:r>
      <w:r>
        <w:t xml:space="preserve">for modeling (120×60 Gy/30 fr; 61×40.05 Gy/15 fr) [2,15].</w:t>
      </w:r>
    </w:p>
    <w:bookmarkEnd w:id="12"/>
    <w:bookmarkStart w:id="13" w:name="dvh-feature-extraction"/>
    <w:p>
      <w:pPr>
        <w:pStyle w:val="Heading3"/>
      </w:pPr>
      <w:r>
        <w:t xml:space="preserve">2.2 DVH feature extraction</w:t>
      </w:r>
    </w:p>
    <w:p>
      <w:pPr>
        <w:pStyle w:val="FirstParagraph"/>
      </w:pPr>
      <w:r>
        <w:t xml:space="preserve">Cumulative DVH and scalar metrics (D95, Dmean, gEUD, homogeneity index, GTV volume) were computed from registered RTDOSE and t0 GTV masks. EQD2 was calculated with α/β=10 Gy [6,11]. gEUD was computed with volume-effect parameter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as in Niemierko [6].</w:t>
      </w:r>
    </w:p>
    <w:bookmarkEnd w:id="13"/>
    <w:bookmarkStart w:id="14" w:name="tcp-models"/>
    <w:p>
      <w:pPr>
        <w:pStyle w:val="Heading3"/>
      </w:pPr>
      <w:r>
        <w:t xml:space="preserve">2.3 TCP models</w:t>
      </w:r>
    </w:p>
    <w:p>
      <w:pPr>
        <w:pStyle w:val="FirstParagraph"/>
      </w:pPr>
      <w:r>
        <w:t xml:space="preserve">We implemented four binary-outcome TCP models following standard radiobiological formulations [4,5,7]: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Poisson TCP:</w:t>
      </w:r>
      <w:r>
        <w:t xml:space="preserve"> </w:t>
      </w:r>
      <m:oMath>
        <m:r>
          <m:t>T</m:t>
        </m:r>
        <m:r>
          <m:t>C</m:t>
        </m:r>
        <m: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exp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γ</m:t>
                    </m:r>
                  </m:e>
                  <m:sub>
                    <m:r>
                      <m:t>50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D</m:t>
                    </m:r>
                  </m:e>
                  <m:sub>
                    <m:r>
                      <m:t>50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Logistic TCP:</w:t>
      </w:r>
      <w:r>
        <w:t xml:space="preserve"> </w:t>
      </w:r>
      <w:r>
        <w:t xml:space="preserve">sigmoid in dose with parameters</w:t>
      </w:r>
      <w:r>
        <w:t xml:space="preserve"> </w:t>
      </w:r>
      <m:oMath>
        <m:sSub>
          <m:e>
            <m:r>
              <m:t>D</m:t>
            </m:r>
          </m:e>
          <m:sub>
            <m:r>
              <m:t>50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Probit TCP:</w:t>
      </w:r>
      <w:r>
        <w:t xml:space="preserve"> </w:t>
      </w:r>
      <w:r>
        <w:t xml:space="preserve">probit link with</w:t>
      </w:r>
      <w:r>
        <w:t xml:space="preserve"> </w:t>
      </w:r>
      <m:oMath>
        <m:sSub>
          <m:e>
            <m:r>
              <m:t>D</m:t>
            </m:r>
          </m:e>
          <m:sub>
            <m:r>
              <m:t>50</m:t>
            </m:r>
          </m:sub>
        </m:sSub>
      </m:oMath>
      <w:r>
        <w:t xml:space="preserve">,</w:t>
      </w:r>
      <w:r>
        <w:t xml:space="preserve"> </w:t>
      </w:r>
      <m:oMath>
        <m:r>
          <m:t>σ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gEUD TCP:</w:t>
      </w:r>
      <w:r>
        <w:t xml:space="preserve"> </w:t>
      </w:r>
      <w:r>
        <w:t xml:space="preserve">dose metric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[6]</w:t>
      </w:r>
    </w:p>
    <w:p>
      <w:pPr>
        <w:pStyle w:val="FirstParagraph"/>
      </w:pPr>
      <w:r>
        <w:t xml:space="preserve">Parameters were estimated by maximum likelihood. Bootstrap 95% confidence intervals (1000 resamples) were computed for Poisson</w:t>
      </w:r>
      <w:r>
        <w:t xml:space="preserve"> </w:t>
      </w:r>
      <m:oMath>
        <m:sSub>
          <m:e>
            <m:r>
              <m:t>D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γ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[18]. Models were compared by AIC, BIC, ROC AUC, and Hosmer–Lemeshow calibration [7].</w:t>
      </w:r>
    </w:p>
    <w:bookmarkEnd w:id="14"/>
    <w:bookmarkStart w:id="15" w:name="outcomes"/>
    <w:p>
      <w:pPr>
        <w:pStyle w:val="Heading3"/>
      </w:pPr>
      <w:r>
        <w:t xml:space="preserve">2.4 Outcomes</w:t>
      </w:r>
    </w:p>
    <w:p>
      <w:pPr>
        <w:pStyle w:val="FirstParagraph"/>
      </w:pPr>
      <w:r>
        <w:rPr>
          <w:b/>
          <w:bCs/>
        </w:rPr>
        <w:t xml:space="preserve">Primary (exploratory):</w:t>
      </w:r>
      <w:r>
        <w:t xml:space="preserve"> </w:t>
      </w:r>
      <w:r>
        <w:t xml:space="preserve">OS ≥ cohort median (51 weeks) as a binary proxy for pipeline testing.</w:t>
      </w:r>
    </w:p>
    <w:p>
      <w:pPr>
        <w:pStyle w:val="BodyText"/>
      </w:pPr>
      <w:r>
        <w:rPr>
          <w:b/>
          <w:bCs/>
        </w:rPr>
        <w:t xml:space="preserve">Secondary (v3):</w:t>
      </w:r>
      <w:r>
        <w:t xml:space="preserve"> </w:t>
      </w:r>
      <w:r>
        <w:t xml:space="preserve">RANO non-progressive disease at t1 (non-PD: SD/MR/PR/CR vs PD) [12,13], available for 137/190 modeling patients [8].</w:t>
      </w:r>
    </w:p>
    <w:bookmarkEnd w:id="15"/>
    <w:bookmarkStart w:id="16" w:name="statistical-analysis"/>
    <w:p>
      <w:pPr>
        <w:pStyle w:val="Heading3"/>
      </w:pPr>
      <w:r>
        <w:t xml:space="preserve">2.5 Statistical analysis</w:t>
      </w:r>
    </w:p>
    <w:p>
      <w:pPr>
        <w:pStyle w:val="FirstParagraph"/>
      </w:pPr>
      <w:r>
        <w:t xml:space="preserve">Kaplan–Meier and log-rank tests compared fractionation schemes [14]. Cox proportional hazards models included EQD2, Dmean, age, sex, WHO PS, and RANO non-PD [14]. Within-arm Spearman correlations and Poisson TCP AUC were computed separately for 60 Gy and 40 Gy arms.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 </w:t>
      </w:r>
      <w:r>
        <w:t xml:space="preserve">modeled RANO non-PD ~ GTV volume + age + WHO PS + scheme indicator, with an optional volume×scheme interaction term.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provided out-of-sample AUC for 40 Gy and pooled models [18].</w:t>
      </w:r>
      <w:r>
        <w:t xml:space="preserve"> </w:t>
      </w:r>
      <w:r>
        <w:rPr>
          <w:b/>
          <w:bCs/>
        </w:rPr>
        <w:t xml:space="preserve">PyRadiomics features</w:t>
      </w:r>
      <w:r>
        <w:t xml:space="preserve"> </w:t>
      </w:r>
      <w:r>
        <w:t xml:space="preserve">(v3 TSV, t1gd sequence, GTV t0) [8,9] were merged by patient ID; the top five univariate features by RANO AUC were compared against DVH volume (in-sample), with</w:t>
      </w:r>
      <w:r>
        <w:t xml:space="preserve"> </w:t>
      </w:r>
      <w:r>
        <w:rPr>
          <w:b/>
          <w:bCs/>
        </w:rPr>
        <w:t xml:space="preserve">nested 5-fold stratified CV</w:t>
      </w:r>
      <w:r>
        <w:t xml:space="preserve"> </w:t>
      </w:r>
      <w:r>
        <w:t xml:space="preserve">(feature selection on training folds only) to reduce optimism [17,18]. Full equations:</w:t>
      </w:r>
      <w:r>
        <w:t xml:space="preserve"> </w:t>
      </w:r>
      <w:r>
        <w:rPr>
          <w:rStyle w:val="VerbatimChar"/>
        </w:rPr>
        <w:t xml:space="preserve">reports/manuscript_equations_fragment.tex</w:t>
      </w:r>
      <w:r>
        <w:t xml:space="preserve"> </w:t>
      </w:r>
      <w:r>
        <w:t xml:space="preserve">(included in</w:t>
      </w:r>
      <w:r>
        <w:t xml:space="preserve"> </w:t>
      </w:r>
      <w:r>
        <w:rPr>
          <w:rStyle w:val="VerbatimChar"/>
        </w:rPr>
        <w:t xml:space="preserve">manuscript.tex</w:t>
      </w:r>
      <w:r>
        <w:t xml:space="preserve">). Export:</w:t>
      </w:r>
      <w:r>
        <w:t xml:space="preserve"> </w:t>
      </w:r>
      <w:r>
        <w:rPr>
          <w:rStyle w:val="VerbatimChar"/>
        </w:rPr>
        <w:t xml:space="preserve">bash scripts/export_manuscript.sh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manuscript.docx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manuscript.pdf</w:t>
      </w:r>
      <w:r>
        <w:t xml:space="preserve">.</w:t>
      </w:r>
    </w:p>
    <w:bookmarkEnd w:id="16"/>
    <w:bookmarkStart w:id="17" w:name="reproducibility"/>
    <w:p>
      <w:pPr>
        <w:pStyle w:val="Heading3"/>
      </w:pPr>
      <w:r>
        <w:t xml:space="preserve">2.6 Reproducibility</w:t>
      </w:r>
    </w:p>
    <w:p>
      <w:pPr>
        <w:pStyle w:val="FirstParagraph"/>
      </w:pPr>
      <w:r>
        <w:t xml:space="preserve">All code is available at [repository URL]. Figures and tables regenerate via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results"/>
    <w:p>
      <w:pPr>
        <w:pStyle w:val="Heading2"/>
      </w:pPr>
      <w:r>
        <w:t xml:space="preserve">3. Results</w:t>
      </w:r>
    </w:p>
    <w:bookmarkStart w:id="19" w:name="cohort-and-clinical-prognosis"/>
    <w:p>
      <w:pPr>
        <w:pStyle w:val="Heading3"/>
      </w:pPr>
      <w:r>
        <w:t xml:space="preserve">3.1 Cohort and clinical prognosis</w:t>
      </w:r>
    </w:p>
    <w:p>
      <w:pPr>
        <w:pStyle w:val="FirstParagraph"/>
      </w:pPr>
      <w:r>
        <w:t xml:space="preserve">Median age 70 years; median OS 51 weeks. Sixty Gy patients had longer OS than 40 Gy patients (median 60 vs 28 weeks; log-rank p≈3×10⁻⁶), consistent with prior GBM fractionation studies [2,3,15]. Cox model: scheme HR≈0.54 (p≈0.0007), WHO PS HR≈1.42 (p≈0.001) [14].</w:t>
      </w:r>
    </w:p>
    <w:bookmarkEnd w:id="19"/>
    <w:bookmarkStart w:id="20" w:name="pooled-tcp-os-proxy"/>
    <w:p>
      <w:pPr>
        <w:pStyle w:val="Heading3"/>
      </w:pPr>
      <w:r>
        <w:t xml:space="preserve">3.2 Pooled TCP (OS proxy)</w:t>
      </w:r>
    </w:p>
    <w:p>
      <w:pPr>
        <w:pStyle w:val="FirstParagraph"/>
      </w:pPr>
      <w:r>
        <w:t xml:space="preserve">Poisson/Logistic/Probit TCP on EQD2 achieved in-sample ROC AUC≈0.68 (5-fold CV≈0.68±0.09), significantly better than null (LR p≈3×10⁻⁶). Bootstrap Poisson:</w:t>
      </w:r>
      <w:r>
        <w:t xml:space="preserve"> </w:t>
      </w:r>
      <m:oMath>
        <m:sSub>
          <m:e>
            <m:r>
              <m:t>D</m:t>
            </m:r>
          </m:e>
          <m:sub>
            <m:r>
              <m:t>50</m:t>
            </m:r>
          </m:sub>
        </m:sSub>
      </m:oMath>
      <w:r>
        <w:t xml:space="preserve">≈53 Gy [50, 57],</w:t>
      </w:r>
      <w:r>
        <w:t xml:space="preserve"> </w:t>
      </w:r>
      <m:oMath>
        <m:sSub>
          <m:e>
            <m:r>
              <m:t>γ</m:t>
            </m:r>
          </m:e>
          <m:sub>
            <m:r>
              <m:t>50</m:t>
            </m:r>
          </m:sub>
        </m:sSub>
      </m:oMath>
      <w:r>
        <w:t xml:space="preserve">≈3.3 [2.1, 4.7] [18].</w:t>
      </w:r>
      <w:r>
        <w:t xml:space="preserve"> </w:t>
      </w:r>
      <w:r>
        <w:rPr>
          <w:b/>
          <w:bCs/>
        </w:rPr>
        <w:t xml:space="preserve">Interpretation:</w:t>
      </w:r>
      <w:r>
        <w:t xml:space="preserve"> </w:t>
      </w:r>
      <w:r>
        <w:t xml:space="preserve">association is driven largely by fractionation scheme confounding (r(age, EQD2)=−0.57) [7,15].</w:t>
      </w:r>
    </w:p>
    <w:bookmarkEnd w:id="20"/>
    <w:bookmarkStart w:id="21" w:name="rano-endpoint-pooled"/>
    <w:p>
      <w:pPr>
        <w:pStyle w:val="Heading3"/>
      </w:pPr>
      <w:r>
        <w:t xml:space="preserve">3.3 RANO endpoint (pooled)</w:t>
      </w:r>
    </w:p>
    <w:p>
      <w:pPr>
        <w:pStyle w:val="FirstParagraph"/>
      </w:pPr>
      <w:r>
        <w:t xml:space="preserve">On the same 137 patients, pooled EQD2→RANO non-PD yielded AUC≈0.43 (LR p=1.0): higher EQD2 correlated with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early PD at t1 (60 Gy PD rate 27% vs 40 Gy 15%) [12,15].</w:t>
      </w:r>
    </w:p>
    <w:bookmarkEnd w:id="21"/>
    <w:bookmarkStart w:id="22" w:name="within-arm-analysis"/>
    <w:p>
      <w:pPr>
        <w:pStyle w:val="Heading3"/>
      </w:pPr>
      <w:r>
        <w:t xml:space="preserve">3.4 Within-arm analysis</w:t>
      </w:r>
    </w:p>
    <w:p>
      <w:pPr>
        <w:pStyle w:val="FirstParagraph"/>
      </w:pPr>
      <w:r>
        <w:t xml:space="preserve">Within 60 Gy, GTV Dmean SD=0.28 Gy — insufficient for dose–response [7].</w:t>
      </w:r>
      <w:r>
        <w:t xml:space="preserve"> </w:t>
      </w:r>
      <w:r>
        <w:rPr>
          <w:b/>
          <w:bCs/>
        </w:rPr>
        <w:t xml:space="preserve">40 Gy arm (n=34 with RANO):</w:t>
      </w:r>
      <w:r>
        <w:t xml:space="preserve"> </w:t>
      </w:r>
      <w:r>
        <w:t xml:space="preserve">GTV volume predicted RANO non-PD (Poisson TCP AUC=0.83, LR p=0.037; Spearman p=0.016), consistent with tumour burden prognostic literature [16]. Multivariable logistic (volume + age + WHO PS):</w:t>
      </w:r>
      <w:r>
        <w:t xml:space="preserve"> </w:t>
      </w:r>
      <w:r>
        <w:rPr>
          <w:b/>
          <w:bCs/>
        </w:rPr>
        <w:t xml:space="preserve">AUC=0.90</w:t>
      </w:r>
      <w:r>
        <w:t xml:space="preserve">, bootstrap 95% CI [0.81, 1.00] [18].</w:t>
      </w:r>
    </w:p>
    <w:bookmarkEnd w:id="22"/>
    <w:bookmarkStart w:id="23" w:name="volume-validation"/>
    <w:p>
      <w:pPr>
        <w:pStyle w:val="Heading3"/>
      </w:pPr>
      <w:r>
        <w:t xml:space="preserve">3.5 Volume validation</w:t>
      </w:r>
    </w:p>
    <w:p>
      <w:pPr>
        <w:pStyle w:val="FirstParagraph"/>
      </w:pPr>
      <w:r>
        <w:t xml:space="preserve">DVH GTV volume at t0 agreed with RANO</w:t>
      </w:r>
      <w:r>
        <w:t xml:space="preserve"> </w:t>
      </w:r>
      <w:r>
        <w:rPr>
          <w:rStyle w:val="VerbatimChar"/>
        </w:rPr>
        <w:t xml:space="preserve">size_t0_cm3</w:t>
      </w:r>
      <w:r>
        <w:t xml:space="preserve"> </w:t>
      </w:r>
      <w:r>
        <w:t xml:space="preserve">(Spearman ρ=1.00, n=141) [8]. t1 NIfTI mask validation was not performed locally; analyses used author-reported RANO volumes from the v3 TSV [8,9].</w:t>
      </w:r>
    </w:p>
    <w:bookmarkEnd w:id="23"/>
    <w:bookmarkStart w:id="24" w:name="rano-and-overall-survival"/>
    <w:p>
      <w:pPr>
        <w:pStyle w:val="Heading3"/>
      </w:pPr>
      <w:r>
        <w:t xml:space="preserve">3.6 RANO and overall survival</w:t>
      </w:r>
    </w:p>
    <w:p>
      <w:pPr>
        <w:pStyle w:val="FirstParagraph"/>
      </w:pPr>
      <w:r>
        <w:t xml:space="preserve">Cox model (n=137): RANO non-PD HR≈0.48 (p≈0.0009); EQD2 remained significant after adjustment (HR≈0.97, p≈0.009) [12,14].</w:t>
      </w:r>
    </w:p>
    <w:bookmarkEnd w:id="24"/>
    <w:bookmarkStart w:id="25" w:name="Xc8d476549152ed48c2fe29dd7b2e8a44632433d"/>
    <w:p>
      <w:pPr>
        <w:pStyle w:val="Heading3"/>
      </w:pPr>
      <w:r>
        <w:t xml:space="preserve">3.7 Pooled RANO models (volume + clinical + scheme)</w:t>
      </w:r>
    </w:p>
    <w:p>
      <w:pPr>
        <w:pStyle w:val="FirstParagraph"/>
      </w:pPr>
      <w:r>
        <w:t xml:space="preserve">On n=137 with RANO labels, EQD2 alone achieved AUC≈0.57.</w:t>
      </w:r>
      <w:r>
        <w:t xml:space="preserve"> </w:t>
      </w:r>
      <w:r>
        <w:rPr>
          <w:b/>
          <w:bCs/>
        </w:rPr>
        <w:t xml:space="preserve">GTV volume + age + WHO PS + scheme</w:t>
      </w:r>
      <w:r>
        <w:t xml:space="preserve"> </w:t>
      </w:r>
      <w:r>
        <w:t xml:space="preserve">improved discrimination to</w:t>
      </w:r>
      <w:r>
        <w:t xml:space="preserve"> </w:t>
      </w:r>
      <w:r>
        <w:rPr>
          <w:b/>
          <w:bCs/>
        </w:rPr>
        <w:t xml:space="preserve">AUC≈0.72</w:t>
      </w:r>
      <w:r>
        <w:t xml:space="preserve">; adding a volume×scheme interaction yielded AUC≈0.72. LOOCV AUC for the pooled clinical model was</w:t>
      </w:r>
      <w:r>
        <w:t xml:space="preserve"> </w:t>
      </w:r>
      <w:r>
        <w:rPr>
          <w:b/>
          <w:bCs/>
        </w:rPr>
        <w:t xml:space="preserve">≈0.64</w:t>
      </w:r>
      <w:r>
        <w:t xml:space="preserve"> </w:t>
      </w:r>
      <w:r>
        <w:t xml:space="preserve">[18], indicating moderate generalisation within this single-centre cohort.</w:t>
      </w:r>
    </w:p>
    <w:bookmarkEnd w:id="25"/>
    <w:bookmarkStart w:id="26" w:name="loocv-in-the-hypofractionated-arm"/>
    <w:p>
      <w:pPr>
        <w:pStyle w:val="Heading3"/>
      </w:pPr>
      <w:r>
        <w:t xml:space="preserve">3.8 LOOCV in the hypofractionated arm</w:t>
      </w:r>
    </w:p>
    <w:p>
      <w:pPr>
        <w:pStyle w:val="FirstParagraph"/>
      </w:pPr>
      <w:r>
        <w:t xml:space="preserve">In-sample multivariable AUC in the 40 Gy arm was 0.90, but</w:t>
      </w:r>
      <w:r>
        <w:t xml:space="preserve"> </w:t>
      </w:r>
      <w:r>
        <w:rPr>
          <w:b/>
          <w:bCs/>
        </w:rPr>
        <w:t xml:space="preserve">LOOCV AUC was 0.74</w:t>
      </w:r>
      <w:r>
        <w:t xml:space="preserve"> </w:t>
      </w:r>
      <w:r>
        <w:t xml:space="preserve">(volume only) and 0.70 (volume + age + PS) [18], confirming signal beyond chance while reducing optimism bias relative to resubstitution [7].</w:t>
      </w:r>
    </w:p>
    <w:bookmarkEnd w:id="26"/>
    <w:bookmarkStart w:id="27" w:name="pyradiomics-vs-dvh-volume"/>
    <w:p>
      <w:pPr>
        <w:pStyle w:val="Heading3"/>
      </w:pPr>
      <w:r>
        <w:t xml:space="preserve">3.9 PyRadiomics vs DVH volume</w:t>
      </w:r>
    </w:p>
    <w:p>
      <w:pPr>
        <w:pStyle w:val="FirstParagraph"/>
      </w:pPr>
      <w:r>
        <w:t xml:space="preserve">Using the author-provided PyRadiomics TSV (t1gd, GTV t0) [8,9,17], the top five radiomics features achieved</w:t>
      </w:r>
      <w:r>
        <w:t xml:space="preserve"> </w:t>
      </w:r>
      <w:r>
        <w:rPr>
          <w:b/>
          <w:bCs/>
        </w:rPr>
        <w:t xml:space="preserve">in-sample AUC≈0.78</w:t>
      </w:r>
      <w:r>
        <w:t xml:space="preserve"> </w:t>
      </w:r>
      <w:r>
        <w:t xml:space="preserve">for RANO non-PD vs</w:t>
      </w:r>
      <w:r>
        <w:t xml:space="preserve"> </w:t>
      </w:r>
      <w:r>
        <w:rPr>
          <w:b/>
          <w:bCs/>
        </w:rPr>
        <w:t xml:space="preserve">0.71</w:t>
      </w:r>
      <w:r>
        <w:t xml:space="preserve"> </w:t>
      </w:r>
      <w:r>
        <w:t xml:space="preserve">for DVH volume alone (n=137).</w:t>
      </w:r>
      <w:r>
        <w:t xml:space="preserve"> </w:t>
      </w:r>
      <w:r>
        <w:rPr>
          <w:b/>
          <w:bCs/>
        </w:rPr>
        <w:t xml:space="preserve">Nested 5-fold CV</w:t>
      </w:r>
      <w:r>
        <w:t xml:space="preserve"> </w:t>
      </w:r>
      <w:r>
        <w:t xml:space="preserve">(top-5 feature selection on train folds only) yielded</w:t>
      </w:r>
      <w:r>
        <w:t xml:space="preserve"> </w:t>
      </w:r>
      <w:r>
        <w:rPr>
          <w:b/>
          <w:bCs/>
        </w:rPr>
        <w:t xml:space="preserve">AUC≈0.74</w:t>
      </w:r>
      <w:r>
        <w:t xml:space="preserve"> </w:t>
      </w:r>
      <w:r>
        <w:t xml:space="preserve">for radiomics vs</w:t>
      </w:r>
      <w:r>
        <w:t xml:space="preserve"> </w:t>
      </w:r>
      <w:r>
        <w:rPr>
          <w:b/>
          <w:bCs/>
        </w:rPr>
        <w:t xml:space="preserve">0.70</w:t>
      </w:r>
      <w:r>
        <w:t xml:space="preserve"> </w:t>
      </w:r>
      <w:r>
        <w:t xml:space="preserve">for volume-only — optimism Δ≈0.04–0.07. Combined volume + top radiomics feature: in-sample AUC≈0.77. For OS median-split on the same patients, radiomics + clinical covariates reached AUC≈0.78 vs volume-only 0.59 [9,10] (see</w:t>
      </w:r>
      <w:r>
        <w:t xml:space="preserve"> </w:t>
      </w:r>
      <w:r>
        <w:rPr>
          <w:rStyle w:val="VerbatimChar"/>
        </w:rPr>
        <w:t xml:space="preserve">figures/08_pyradiomics_nested_cv_auc.png</w:t>
      </w:r>
      <w:r>
        <w:t xml:space="preserve">).</w:t>
      </w:r>
    </w:p>
    <w:bookmarkEnd w:id="27"/>
    <w:bookmarkStart w:id="28" w:name="Xb29cc4e1dc8d03b27b794a7628700df92826e48"/>
    <w:p>
      <w:pPr>
        <w:pStyle w:val="Heading3"/>
      </w:pPr>
      <w:r>
        <w:t xml:space="preserve">3.10 Literature comparison — TCP parameters (Part VI)</w:t>
      </w:r>
    </w:p>
    <w:p>
      <w:pPr>
        <w:pStyle w:val="FirstParagraph"/>
      </w:pPr>
      <w:r>
        <w:t xml:space="preserve">Poisson TCP on EQD2 (OS median-split proxy) yielded</w:t>
      </w:r>
      <w:r>
        <w:t xml:space="preserve"> </w:t>
      </w:r>
      <w:r>
        <w:rPr>
          <w:b/>
          <w:bCs/>
        </w:rPr>
        <w:t xml:space="preserve">D50≈53.2 Gy</w:t>
      </w:r>
      <w:r>
        <w:t xml:space="preserve"> </w:t>
      </w:r>
      <w:r>
        <w:t xml:space="preserve">[49.5–56.7] and</w:t>
      </w:r>
      <w:r>
        <w:t xml:space="preserve"> </w:t>
      </w:r>
      <w:r>
        <w:rPr>
          <w:b/>
          <w:bCs/>
        </w:rPr>
        <w:t xml:space="preserve">γ50≈3.32</w:t>
      </w:r>
      <w:r>
        <w:t xml:space="preserve"> </w:t>
      </w:r>
      <w:r>
        <w:t xml:space="preserve">[2.06–4.69] (bootstrap, n=190) [18]. Direct comparison with published GBM TCP studies is limited because (i) CFB-GBM lacks formal local control, (ii) dose spread within protocol is &lt;1 Gy, and (iii) our endpoint is OS proxy rather than LC [7,16]. Literature review (Table in</w:t>
      </w:r>
      <w:r>
        <w:t xml:space="preserve"> </w:t>
      </w:r>
      <w:r>
        <w:rPr>
          <w:rStyle w:val="VerbatimChar"/>
        </w:rPr>
        <w:t xml:space="preserve">reports/metrics/literature_tcp_d50_comparison.csv</w:t>
      </w:r>
      <w:r>
        <w:t xml:space="preserve">) shows reported D50 ranges of ~40–80 Gy across sites and endpoints [4,5]; our estimate falls within this range but is</w:t>
      </w:r>
      <w:r>
        <w:t xml:space="preserve"> </w:t>
      </w:r>
      <w:r>
        <w:rPr>
          <w:b/>
          <w:bCs/>
        </w:rPr>
        <w:t xml:space="preserve">not interpretable as GBM tumour-control D50</w:t>
      </w:r>
      <w:r>
        <w:t xml:space="preserve"> </w:t>
      </w:r>
      <w:r>
        <w:t xml:space="preserve">without endpoint and cohort redesign.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discussion"/>
    <w:p>
      <w:pPr>
        <w:pStyle w:val="Heading2"/>
      </w:pPr>
      <w:r>
        <w:t xml:space="preserve">4. Discussion</w:t>
      </w:r>
    </w:p>
    <w:bookmarkStart w:id="30" w:name="why-pooled-dosetcp-fails-here"/>
    <w:p>
      <w:pPr>
        <w:pStyle w:val="Heading3"/>
      </w:pPr>
      <w:r>
        <w:t xml:space="preserve">4.1 Why pooled dose–TCP fails here</w:t>
      </w:r>
    </w:p>
    <w:p>
      <w:pPr>
        <w:pStyle w:val="FirstParagraph"/>
      </w:pPr>
      <w:r>
        <w:t xml:space="preserve">CFB-GBM reflects</w:t>
      </w:r>
      <w:r>
        <w:t xml:space="preserve"> </w:t>
      </w:r>
      <w:r>
        <w:rPr>
          <w:b/>
          <w:bCs/>
        </w:rPr>
        <w:t xml:space="preserve">routine practice</w:t>
      </w:r>
      <w:r>
        <w:t xml:space="preserve">, not a dose-escalation trial: within-protocol GTV Dmean variation is &lt;1 Gy (60 Gy arm SD=0.28 Gy) [7,8]. TCP fitting further requires a tumour-control endpoint; OS and early RANO capture different biology and are confounded by age-linked fractionation selection [8,15]. Pooled EQD2→RANO AUC≈0.43 is not a failure of RANO per se [12,13] but of</w:t>
      </w:r>
      <w:r>
        <w:t xml:space="preserve"> </w:t>
      </w:r>
      <w:r>
        <w:rPr>
          <w:b/>
          <w:bCs/>
        </w:rPr>
        <w:t xml:space="preserve">using dose as the sole predictor across mixed fractionation schemes</w:t>
      </w:r>
      <w:r>
        <w:t xml:space="preserve"> </w:t>
      </w:r>
      <w:r>
        <w:t xml:space="preserve">where higher EQD2 correlates with more early PD at t1 despite better OS [15].</w:t>
      </w:r>
    </w:p>
    <w:p>
      <w:pPr>
        <w:pStyle w:val="BodyText"/>
      </w:pPr>
      <w:r>
        <w:t xml:space="preserve">Our negative pooled dose–TCP result is scientifically informative: it demonstrates that</w:t>
      </w:r>
      <w:r>
        <w:t xml:space="preserve"> </w:t>
      </w:r>
      <w:r>
        <w:rPr>
          <w:b/>
          <w:bCs/>
        </w:rPr>
        <w:t xml:space="preserve">endpoint and cohort design matter more than model sophistication</w:t>
      </w:r>
      <w:r>
        <w:t xml:space="preserve"> </w:t>
      </w:r>
      <w:r>
        <w:t xml:space="preserve">[4,7]. This aligns with Ohri et al.'s emphasis on adequate dose heterogeneity and appropriate endpoints for TCP validation [7].</w:t>
      </w:r>
    </w:p>
    <w:bookmarkEnd w:id="30"/>
    <w:bookmarkStart w:id="31" w:name="X033efa3e81b5c30ff239cd83b5af0564d93ff88"/>
    <w:p>
      <w:pPr>
        <w:pStyle w:val="Heading3"/>
      </w:pPr>
      <w:r>
        <w:t xml:space="preserve">4.2 Tumour burden predicts RANO when confounding is addressed</w:t>
      </w:r>
    </w:p>
    <w:p>
      <w:pPr>
        <w:pStyle w:val="FirstParagraph"/>
      </w:pPr>
      <w:r>
        <w:t xml:space="preserve">When fractionation scheme is included as a covariate,</w:t>
      </w:r>
      <w:r>
        <w:t xml:space="preserve"> </w:t>
      </w:r>
      <w:r>
        <w:rPr>
          <w:b/>
          <w:bCs/>
        </w:rPr>
        <w:t xml:space="preserve">GTV volume consistently predicts RANO non-PD</w:t>
      </w:r>
      <w:r>
        <w:t xml:space="preserve"> </w:t>
      </w:r>
      <w:r>
        <w:t xml:space="preserve">(pooled AUC≈0.72; LOOCV≈0.64). This reframes the analysis from classical TCP (dose→control) to</w:t>
      </w:r>
      <w:r>
        <w:t xml:space="preserve"> </w:t>
      </w:r>
      <w:r>
        <w:rPr>
          <w:b/>
          <w:bCs/>
        </w:rPr>
        <w:t xml:space="preserve">tumour burden→imaging response</w:t>
      </w:r>
      <w:r>
        <w:t xml:space="preserve">, which is clinically interpretable: larger baseline GTV may reflect more aggressive biology or reduced likelihood of early imaging stabilisation under palliative-intent hypofractionation [3,15,16].</w:t>
      </w:r>
    </w:p>
    <w:p>
      <w:pPr>
        <w:pStyle w:val="BodyText"/>
      </w:pPr>
      <w:r>
        <w:t xml:space="preserve">The hypofractionated subgroup (n=34) shows the strongest in-sample effect (AUC≈0.90), but</w:t>
      </w:r>
      <w:r>
        <w:t xml:space="preserve"> </w:t>
      </w:r>
      <w:r>
        <w:rPr>
          <w:b/>
          <w:bCs/>
        </w:rPr>
        <w:t xml:space="preserve">LOOCV AUC≈0.74</w:t>
      </w:r>
      <w:r>
        <w:t xml:space="preserve"> </w:t>
      </w:r>
      <w:r>
        <w:t xml:space="preserve">is the more defensible estimate [18]. The 60 Gy arm shows a weaker but directionally consistent association (Spearman p≈0.019, Poisson AUC≈0.66, n=96).</w:t>
      </w:r>
    </w:p>
    <w:bookmarkEnd w:id="31"/>
    <w:bookmarkStart w:id="32" w:name="X355b3a6bfbd0ce99cf6cab29011853cdf08ac5e"/>
    <w:p>
      <w:pPr>
        <w:pStyle w:val="Heading3"/>
      </w:pPr>
      <w:r>
        <w:t xml:space="preserve">4.3 PyRadiomics comparison and relation to CFB-GBM authors</w:t>
      </w:r>
    </w:p>
    <w:p>
      <w:pPr>
        <w:pStyle w:val="FirstParagraph"/>
      </w:pPr>
      <w:r>
        <w:t xml:space="preserve">Moreau et al. emphasise imaging AI and radiomics for treatment efficacy prediction on this cohort [9,10]. Our head-to-head comparison on the same open resource [8] shows that</w:t>
      </w:r>
      <w:r>
        <w:t xml:space="preserve"> </w:t>
      </w:r>
      <w:r>
        <w:rPr>
          <w:b/>
          <w:bCs/>
        </w:rPr>
        <w:t xml:space="preserve">author-provided PyRadiomics features (t1gd GTV t0) modestly outperform DVH scalar volume</w:t>
      </w:r>
      <w:r>
        <w:t xml:space="preserve"> </w:t>
      </w:r>
      <w:r>
        <w:t xml:space="preserve">for RANO (in-sample AUC 0.78 vs 0.71; nested CV 0.74 vs 0.70), while DVH volume remains competitive and fully reproducible from RTDOSE+GTV without MRI preprocessing.</w:t>
      </w:r>
    </w:p>
    <w:p>
      <w:pPr>
        <w:pStyle w:val="BodyText"/>
      </w:pPr>
      <w:r>
        <w:t xml:space="preserve">Feature standardisation follows IBSI recommendations [17]; we did not re-extract radiomics locally, ensuring parity with the published TCIA feature table [8,9].</w:t>
      </w:r>
    </w:p>
    <w:bookmarkEnd w:id="32"/>
    <w:bookmarkStart w:id="33" w:name="clinical-prognostic-context"/>
    <w:p>
      <w:pPr>
        <w:pStyle w:val="Heading3"/>
      </w:pPr>
      <w:r>
        <w:t xml:space="preserve">4.4 Clinical prognostic context</w:t>
      </w:r>
    </w:p>
    <w:p>
      <w:pPr>
        <w:pStyle w:val="FirstParagraph"/>
      </w:pPr>
      <w:r>
        <w:t xml:space="preserve">Independent of TCP framing, CFB-GBM confirms known prognostic factors: 60 vs 40 Gy OS separation (p≈10⁻⁷) [2,15], WHO PS gradient [2], and RANO non-PD as an OS predictor (Cox HR≈0.48) [12,14]. These descriptive findings support data quality but are not novel; they anchor the dosimetry/RANO feasibility narrative.</w:t>
      </w:r>
    </w:p>
    <w:bookmarkEnd w:id="33"/>
    <w:bookmarkStart w:id="34" w:name="implications-for-open-data-tcp-research"/>
    <w:p>
      <w:pPr>
        <w:pStyle w:val="Heading3"/>
      </w:pPr>
      <w:r>
        <w:t xml:space="preserve">4.5 Implications for open-data TCP research</w:t>
      </w:r>
    </w:p>
    <w:p>
      <w:pPr>
        <w:pStyle w:val="FirstParagraph"/>
      </w:pPr>
      <w:r>
        <w:t xml:space="preserve">We propose a practical checklist for future open-cohort TCP studies [7]: (1) report within-arm GTV Dmean IQR before fitting TCP; (2) prefer imaging response or LC over OS [12,13]; (3) adjust for fractionation and age [15]; (4) report LOOCV or nested CV alongside in-sample AUC [18]; (5) compare against author-provided radiomics baselines when available [8,9,17].</w:t>
      </w:r>
    </w:p>
    <w:bookmarkEnd w:id="34"/>
    <w:bookmarkStart w:id="35" w:name="limitations"/>
    <w:p>
      <w:pPr>
        <w:pStyle w:val="Heading3"/>
      </w:pPr>
      <w:r>
        <w:t xml:space="preserve">4.6 Limitations</w:t>
      </w:r>
    </w:p>
    <w:p>
      <w:pPr>
        <w:pStyle w:val="Compact"/>
        <w:numPr>
          <w:ilvl w:val="0"/>
          <w:numId w:val="1002"/>
        </w:numPr>
      </w:pPr>
      <w:r>
        <w:t xml:space="preserve">No formal local control labels; RANO at t1 is an imaging surrogate [12,13]</w:t>
      </w:r>
    </w:p>
    <w:p>
      <w:pPr>
        <w:pStyle w:val="Compact"/>
        <w:numPr>
          <w:ilvl w:val="0"/>
          <w:numId w:val="1002"/>
        </w:numPr>
      </w:pPr>
      <w:r>
        <w:t xml:space="preserve">Single institution, retrospective, deceased-patients-only inclusion [8]</w:t>
      </w:r>
    </w:p>
    <w:p>
      <w:pPr>
        <w:pStyle w:val="Compact"/>
        <w:numPr>
          <w:ilvl w:val="0"/>
          <w:numId w:val="1002"/>
        </w:numPr>
      </w:pPr>
      <w:r>
        <w:t xml:space="preserve">Small hypofractionated RANO subset (n=34); pooled LOOCV AUC≈0.64 limits clinical translation [7,18]</w:t>
      </w:r>
    </w:p>
    <w:p>
      <w:pPr>
        <w:pStyle w:val="Compact"/>
        <w:numPr>
          <w:ilvl w:val="0"/>
          <w:numId w:val="1002"/>
        </w:numPr>
      </w:pPr>
      <w:r>
        <w:t xml:space="preserve">t1 GTV NIfTI follow-up masks not validated locally;</w:t>
      </w:r>
      <w:r>
        <w:t xml:space="preserve"> </w:t>
      </w:r>
      <w:r>
        <w:rPr>
          <w:rStyle w:val="VerbatimChar"/>
        </w:rPr>
        <w:t xml:space="preserve">size_t1_cm3</w:t>
      </w:r>
      <w:r>
        <w:t xml:space="preserve"> </w:t>
      </w:r>
      <w:r>
        <w:t xml:space="preserve">taken from v3 TSV [8]</w:t>
      </w:r>
    </w:p>
    <w:p>
      <w:pPr>
        <w:pStyle w:val="Compact"/>
        <w:numPr>
          <w:ilvl w:val="0"/>
          <w:numId w:val="1002"/>
        </w:numPr>
      </w:pPr>
      <w:r>
        <w:t xml:space="preserve">PyRadiomics nested CV (top-5 selection on train) reduces but does not eliminate optimism (Δ≈0.04–0.07 vs in-sample) [17,18]</w:t>
      </w:r>
    </w:p>
    <w:p>
      <w:pPr>
        <w:pStyle w:val="Compact"/>
        <w:numPr>
          <w:ilvl w:val="0"/>
          <w:numId w:val="1002"/>
        </w:numPr>
      </w:pPr>
      <w:r>
        <w:t xml:space="preserve">No external validation cohort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We deliver an open, reproducible TCP modeling pipeline on CFB-GBM [8] and show that</w:t>
      </w:r>
      <w:r>
        <w:t xml:space="preserve"> </w:t>
      </w:r>
      <w:r>
        <w:rPr>
          <w:b/>
          <w:bCs/>
        </w:rPr>
        <w:t xml:space="preserve">classical pooled TCP dose–response validation is not feasible</w:t>
      </w:r>
      <w:r>
        <w:t xml:space="preserve"> </w:t>
      </w:r>
      <w:r>
        <w:t xml:space="preserve">on this cohort [4,7]. When fractionation confounding is addressed [15],</w:t>
      </w:r>
      <w:r>
        <w:t xml:space="preserve"> </w:t>
      </w:r>
      <w:r>
        <w:rPr>
          <w:b/>
          <w:bCs/>
        </w:rPr>
        <w:t xml:space="preserve">GTV volume and PyRadiomics features predict early RANO</w:t>
      </w:r>
      <w:r>
        <w:t xml:space="preserve"> </w:t>
      </w:r>
      <w:r>
        <w:t xml:space="preserve">with moderate discrimination (pooled LOOCV AUC≈0.64; PyRadiomics nested CV AUC≈0.74 vs volume 0.70) [9,17]. We recommend future TCP studies prioritise single-protocol cohorts with ≥1 Gy GTV Dmean IQR, explicit tumour control endpoints [12,13], LOOCV reporting [18], and comparison against author radiomics baselines [8,9].</w:t>
      </w:r>
    </w:p>
    <w:p>
      <w:pPr>
        <w:pStyle w:val="BodyText"/>
      </w:pPr>
      <w:r>
        <w:rPr>
          <w:b/>
          <w:bCs/>
        </w:rPr>
        <w:t xml:space="preserve">LaTeX / Word export:</w:t>
      </w:r>
      <w:r>
        <w:t xml:space="preserve"> </w:t>
      </w:r>
      <w:r>
        <w:rPr>
          <w:rStyle w:val="VerbatimChar"/>
        </w:rPr>
        <w:t xml:space="preserve">bash scripts/export_manuscript.sh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reports/manuscript.tex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manuscript.pdf</w:t>
      </w:r>
    </w:p>
    <w:p>
      <w:r>
        <w:pict>
          <v:rect style="width:0;height:1.5pt" o:hralign="center" o:hrstd="t" o:hr="t"/>
        </w:pict>
      </w:r>
    </w:p>
    <w:bookmarkEnd w:id="37"/>
    <w:bookmarkStart w:id="38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3"/>
        </w:numPr>
      </w:pPr>
      <w:r>
        <w:t xml:space="preserve">Stupp R, Mason WP, van den Bent MJ, et al. Effects of radiotherapy with concomitant and adjuvant temozolomide versus radiotherapy alone on survival in glioblastoma.</w:t>
      </w:r>
      <w:r>
        <w:t xml:space="preserve"> </w:t>
      </w:r>
      <w:r>
        <w:rPr>
          <w:i/>
          <w:iCs/>
        </w:rPr>
        <w:t xml:space="preserve">Lancet Oncol</w:t>
      </w:r>
      <w:r>
        <w:t xml:space="preserve">. 2009;10(5):459-466. https://doi.org/10.1016/S1470-2045(09)70025-7</w:t>
      </w:r>
    </w:p>
    <w:p>
      <w:pPr>
        <w:numPr>
          <w:ilvl w:val="0"/>
          <w:numId w:val="1003"/>
        </w:numPr>
      </w:pPr>
      <w:r>
        <w:t xml:space="preserve">Minniti G, De Sanctis V, Valeriani MC. Radiotherapy for glioblastoma: current standards and recent advances.</w:t>
      </w:r>
      <w:r>
        <w:t xml:space="preserve"> </w:t>
      </w:r>
      <w:r>
        <w:rPr>
          <w:i/>
          <w:iCs/>
        </w:rPr>
        <w:t xml:space="preserve">Expert Rev Anticancer Ther</w:t>
      </w:r>
      <w:r>
        <w:t xml:space="preserve">. 2021;21(5):529-542. https://doi.org/10.1080/14737140.2021.1919470</w:t>
      </w:r>
    </w:p>
    <w:p>
      <w:pPr>
        <w:numPr>
          <w:ilvl w:val="0"/>
          <w:numId w:val="1003"/>
        </w:numPr>
      </w:pPr>
      <w:r>
        <w:t xml:space="preserve">Malmström A, Sørensen P, Grunnet K, et al. Temozolomide versus standard 6-week radiotherapy versus hypofractionated radiotherapy in patients older than 60 years with glioblastoma: the Nordic randomised, phase 3 trial.</w:t>
      </w:r>
      <w:r>
        <w:t xml:space="preserve"> </w:t>
      </w:r>
      <w:r>
        <w:rPr>
          <w:i/>
          <w:iCs/>
        </w:rPr>
        <w:t xml:space="preserve">Lancet Oncol</w:t>
      </w:r>
      <w:r>
        <w:t xml:space="preserve">. 2012;13(9):916-926. https://doi.org/10.1016/S1470-2045(12)70265-6</w:t>
      </w:r>
    </w:p>
    <w:p>
      <w:pPr>
        <w:numPr>
          <w:ilvl w:val="0"/>
          <w:numId w:val="1003"/>
        </w:numPr>
      </w:pPr>
      <w:r>
        <w:t xml:space="preserve">Maitre A, Vogin G, Kraus R, et al. Construction of radiobiological models as TCP and NTCP.</w:t>
      </w:r>
      <w:r>
        <w:t xml:space="preserve"> </w:t>
      </w:r>
      <w:r>
        <w:rPr>
          <w:i/>
          <w:iCs/>
        </w:rPr>
        <w:t xml:space="preserve">Cancer Radiother</w:t>
      </w:r>
      <w:r>
        <w:t xml:space="preserve">. 2020;24(3):247-257. https://doi.org/10.1016/j.canrad.2019.08.002</w:t>
      </w:r>
    </w:p>
    <w:p>
      <w:pPr>
        <w:numPr>
          <w:ilvl w:val="0"/>
          <w:numId w:val="1003"/>
        </w:numPr>
      </w:pPr>
      <w:r>
        <w:t xml:space="preserve">Gardner LL, Parry A, McMahon SJ, et al. Modelling radiobiology.</w:t>
      </w:r>
      <w:r>
        <w:t xml:space="preserve"> </w:t>
      </w:r>
      <w:r>
        <w:rPr>
          <w:i/>
          <w:iCs/>
        </w:rPr>
        <w:t xml:space="preserve">Phys Med Biol</w:t>
      </w:r>
      <w:r>
        <w:t xml:space="preserve">. 2024;69(18):18TR01. https://doi.org/10.1088/1361-6560/ad70f0</w:t>
      </w:r>
    </w:p>
    <w:p>
      <w:pPr>
        <w:numPr>
          <w:ilvl w:val="0"/>
          <w:numId w:val="1003"/>
        </w:numPr>
      </w:pPr>
      <w:r>
        <w:t xml:space="preserve">Niemierko A. Reporting and analyzing dose distributions: a concept of equivalent uniform dose.</w:t>
      </w:r>
      <w:r>
        <w:t xml:space="preserve"> </w:t>
      </w:r>
      <w:r>
        <w:rPr>
          <w:i/>
          <w:iCs/>
        </w:rPr>
        <w:t xml:space="preserve">Med Phys</w:t>
      </w:r>
      <w:r>
        <w:t xml:space="preserve">. 1997;24(1):103-110. https://doi.org/10.1118/1.598061</w:t>
      </w:r>
    </w:p>
    <w:p>
      <w:pPr>
        <w:numPr>
          <w:ilvl w:val="0"/>
          <w:numId w:val="1003"/>
        </w:numPr>
      </w:pPr>
      <w:r>
        <w:t xml:space="preserve">Ohri N, Tomé WA, Mendez Romero A, et al. Increasing the power of tumour control and normal tissue complication probability modelling.</w:t>
      </w:r>
      <w:r>
        <w:t xml:space="preserve"> </w:t>
      </w:r>
      <w:r>
        <w:rPr>
          <w:i/>
          <w:iCs/>
        </w:rPr>
        <w:t xml:space="preserve">Transl Cancer Res</w:t>
      </w:r>
      <w:r>
        <w:t xml:space="preserve">. 2017;6(S1):S123-S127. https://doi.org/10.21037/tcr.2017.02.01</w:t>
      </w:r>
    </w:p>
    <w:p>
      <w:pPr>
        <w:numPr>
          <w:ilvl w:val="0"/>
          <w:numId w:val="1003"/>
        </w:numPr>
      </w:pPr>
      <w:r>
        <w:t xml:space="preserve">Moreau NN, Leclercq AG, Desmonts A, et al. Pre and post treatment MRI and radiotherapy plans of patients with glioblastoma: the CFB-GBM cohort (Version 3).</w:t>
      </w:r>
      <w:r>
        <w:t xml:space="preserve"> </w:t>
      </w:r>
      <w:r>
        <w:rPr>
          <w:i/>
          <w:iCs/>
        </w:rPr>
        <w:t xml:space="preserve">The Cancer Imaging Archive</w:t>
      </w:r>
      <w:r>
        <w:t xml:space="preserve">. 2025. https://doi.org/10.7937/v9pn-2f72</w:t>
      </w:r>
    </w:p>
    <w:p>
      <w:pPr>
        <w:numPr>
          <w:ilvl w:val="0"/>
          <w:numId w:val="1003"/>
        </w:numPr>
      </w:pPr>
      <w:r>
        <w:t xml:space="preserve">Moreau NN, Valable S, Jaudet C, et al. Early characterization and prediction of glioblastoma treatment efficacy using radiomics and AI.</w:t>
      </w:r>
      <w:r>
        <w:t xml:space="preserve"> </w:t>
      </w:r>
      <w:r>
        <w:rPr>
          <w:i/>
          <w:iCs/>
        </w:rPr>
        <w:t xml:space="preserve">Front Oncol</w:t>
      </w:r>
      <w:r>
        <w:t xml:space="preserve">. 2025;15:1497195. https://doi.org/10.3389/fonc.2025.1497195</w:t>
      </w:r>
    </w:p>
    <w:p>
      <w:pPr>
        <w:numPr>
          <w:ilvl w:val="0"/>
          <w:numId w:val="1003"/>
        </w:numPr>
      </w:pPr>
      <w:r>
        <w:t xml:space="preserve">Moreau NN, Desmonts A, Jaudet C, et al. AI-Driven Prediction of Treatment Efficacy in Glioblastoma Using Medical Imaging. In: Rekik I, et al., eds.</w:t>
      </w:r>
      <w:r>
        <w:t xml:space="preserve"> </w:t>
      </w:r>
      <w:r>
        <w:rPr>
          <w:i/>
          <w:iCs/>
        </w:rPr>
        <w:t xml:space="preserve">PRIME 2025</w:t>
      </w:r>
      <w:r>
        <w:t xml:space="preserve">, LNCS vol. 16164. Springer; 2025:24-33. https://doi.org/10.1007/978-3-032-07904-6_3</w:t>
      </w:r>
    </w:p>
    <w:p>
      <w:pPr>
        <w:numPr>
          <w:ilvl w:val="0"/>
          <w:numId w:val="1003"/>
        </w:numPr>
      </w:pPr>
      <w:r>
        <w:t xml:space="preserve">Fowler JF. 21 years of biologically effective dose.</w:t>
      </w:r>
      <w:r>
        <w:t xml:space="preserve"> </w:t>
      </w:r>
      <w:r>
        <w:rPr>
          <w:i/>
          <w:iCs/>
        </w:rPr>
        <w:t xml:space="preserve">Br J Radiol</w:t>
      </w:r>
      <w:r>
        <w:t xml:space="preserve">. 2010;83(991):554-568. https://doi.org/10.1259/bjr/86359321</w:t>
      </w:r>
    </w:p>
    <w:p>
      <w:pPr>
        <w:numPr>
          <w:ilvl w:val="0"/>
          <w:numId w:val="1003"/>
        </w:numPr>
      </w:pPr>
      <w:r>
        <w:t xml:space="preserve">Wen PY, Macdonald DR, Reardon DA, et al. Updated response assessment criteria for high-grade gliomas (RANO).</w:t>
      </w:r>
      <w:r>
        <w:t xml:space="preserve"> </w:t>
      </w:r>
      <w:r>
        <w:rPr>
          <w:i/>
          <w:iCs/>
        </w:rPr>
        <w:t xml:space="preserve">J Clin Oncol</w:t>
      </w:r>
      <w:r>
        <w:t xml:space="preserve">. 2010;28(11):1963-1972. https://doi.org/10.1200/JCO.2009.25.5874</w:t>
      </w:r>
    </w:p>
    <w:p>
      <w:pPr>
        <w:numPr>
          <w:ilvl w:val="0"/>
          <w:numId w:val="1003"/>
        </w:numPr>
      </w:pPr>
      <w:r>
        <w:t xml:space="preserve">van Dijk WT, van Erp WG, Wesseling P, et al. RANO 2.0 update for response assessment in neuro-oncology.</w:t>
      </w:r>
      <w:r>
        <w:t xml:space="preserve"> </w:t>
      </w:r>
      <w:r>
        <w:rPr>
          <w:i/>
          <w:iCs/>
        </w:rPr>
        <w:t xml:space="preserve">Lancet Oncol</w:t>
      </w:r>
      <w:r>
        <w:t xml:space="preserve">. 2021;22(12):e503-e508. https://doi.org/10.1016/S1470-2045(21)00489-7</w:t>
      </w:r>
    </w:p>
    <w:p>
      <w:pPr>
        <w:numPr>
          <w:ilvl w:val="0"/>
          <w:numId w:val="1003"/>
        </w:numPr>
      </w:pPr>
      <w:r>
        <w:t xml:space="preserve">Cox DR. Regression models and life-tables.</w:t>
      </w:r>
      <w:r>
        <w:t xml:space="preserve"> </w:t>
      </w:r>
      <w:r>
        <w:rPr>
          <w:i/>
          <w:iCs/>
        </w:rPr>
        <w:t xml:space="preserve">J R Stat Soc Series B</w:t>
      </w:r>
      <w:r>
        <w:t xml:space="preserve">. 1972;34(2):187-220. https://doi.org/10.1111/j.2517-6161.1972.tb00999.x</w:t>
      </w:r>
    </w:p>
    <w:p>
      <w:pPr>
        <w:numPr>
          <w:ilvl w:val="0"/>
          <w:numId w:val="1003"/>
        </w:numPr>
      </w:pPr>
      <w:r>
        <w:t xml:space="preserve">Perry JR, Laperriere N, O'Callaghan CJ, et al. Short-course radiation plus temozolomide in elderly patients with glioblastoma.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2017;376(11):1027-1037. https://doi.org/10.1056/NEJMoa1611977</w:t>
      </w:r>
    </w:p>
    <w:p>
      <w:pPr>
        <w:numPr>
          <w:ilvl w:val="0"/>
          <w:numId w:val="1003"/>
        </w:numPr>
      </w:pPr>
      <w:r>
        <w:t xml:space="preserve">Embring A, Nilsson P, Zellman P, et al. Dosimetric parameters and survival in glioblastoma treated with chemoradiation.</w:t>
      </w:r>
      <w:r>
        <w:t xml:space="preserve"> </w:t>
      </w:r>
      <w:r>
        <w:rPr>
          <w:i/>
          <w:iCs/>
        </w:rPr>
        <w:t xml:space="preserve">Radiother Oncol</w:t>
      </w:r>
      <w:r>
        <w:t xml:space="preserve">. 2020;142:47-53. https://doi.org/10.1016/j.radonc.2019.11.014</w:t>
      </w:r>
    </w:p>
    <w:p>
      <w:pPr>
        <w:numPr>
          <w:ilvl w:val="0"/>
          <w:numId w:val="1003"/>
        </w:numPr>
      </w:pPr>
      <w:r>
        <w:t xml:space="preserve">Zwanenburg A, Vallières M, Abdalah MA, et al. The Image Biomarker Standardisation Initiative.</w:t>
      </w:r>
      <w:r>
        <w:t xml:space="preserve"> </w:t>
      </w:r>
      <w:r>
        <w:rPr>
          <w:i/>
          <w:iCs/>
        </w:rPr>
        <w:t xml:space="preserve">Radiother Oncol</w:t>
      </w:r>
      <w:r>
        <w:t xml:space="preserve">. 2020;142:169-176. https://doi.org/10.1016/j.radonc.2019.11.009</w:t>
      </w:r>
    </w:p>
    <w:p>
      <w:pPr>
        <w:numPr>
          <w:ilvl w:val="0"/>
          <w:numId w:val="1003"/>
        </w:numPr>
      </w:pPr>
      <w:r>
        <w:t xml:space="preserve">Efron B, Tibshirani RJ.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Hall; 1994. ISBN 978-041204231-5.</w:t>
      </w:r>
    </w:p>
    <w:p>
      <w:r>
        <w:pict>
          <v:rect style="width:0;height:1.5pt" o:hralign="center" o:hrstd="t" o:hr="t"/>
        </w:pict>
      </w:r>
    </w:p>
    <w:bookmarkEnd w:id="38"/>
    <w:bookmarkStart w:id="39" w:name="figure-list-from-repository"/>
    <w:p>
      <w:pPr>
        <w:pStyle w:val="Heading2"/>
      </w:pPr>
      <w:r>
        <w:t xml:space="preserve">Figure list (from repository)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1</w:t>
            </w:r>
          </w:p>
        </w:tc>
        <w:tc>
          <w:tcPr/>
          <w:p>
            <w:pPr>
              <w:pStyle w:val="Compact"/>
            </w:pPr>
            <w:r>
              <w:t xml:space="preserve">Cohort / fractionation KM (</w:t>
            </w:r>
            <w:r>
              <w:rPr>
                <w:rStyle w:val="VerbatimChar"/>
              </w:rPr>
              <w:t xml:space="preserve">04_clinical_prognosis.png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2</w:t>
            </w:r>
          </w:p>
        </w:tc>
        <w:tc>
          <w:tcPr/>
          <w:p>
            <w:pPr>
              <w:pStyle w:val="Compact"/>
            </w:pPr>
            <w:r>
              <w:t xml:space="preserve">Pooled TCP curves OS proxy (</w:t>
            </w:r>
            <w:r>
              <w:rPr>
                <w:rStyle w:val="VerbatimChar"/>
              </w:rPr>
              <w:t xml:space="preserve">03_tcp_curves_os_proxy.png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3</w:t>
            </w:r>
          </w:p>
        </w:tc>
        <w:tc>
          <w:tcPr/>
          <w:p>
            <w:pPr>
              <w:pStyle w:val="Compact"/>
            </w:pPr>
            <w:r>
              <w:t xml:space="preserve">OS vs RANO AUC comparison (</w:t>
            </w:r>
            <w:r>
              <w:rPr>
                <w:rStyle w:val="VerbatimChar"/>
              </w:rPr>
              <w:t xml:space="preserve">05_rano_vs_os_tcp_auc.png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4</w:t>
            </w:r>
          </w:p>
        </w:tc>
        <w:tc>
          <w:tcPr/>
          <w:p>
            <w:pPr>
              <w:pStyle w:val="Compact"/>
            </w:pPr>
            <w:r>
              <w:t xml:space="preserve">Within-arm DVH→RANO (</w:t>
            </w:r>
            <w:r>
              <w:rPr>
                <w:rStyle w:val="VerbatimChar"/>
              </w:rPr>
              <w:t xml:space="preserve">06_within_arm_rano_tcp.png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5</w:t>
            </w:r>
          </w:p>
        </w:tc>
        <w:tc>
          <w:tcPr/>
          <w:p>
            <w:pPr>
              <w:pStyle w:val="Compact"/>
            </w:pPr>
            <w:r>
              <w:t xml:space="preserve">Multivariable ROC 40 Gy (</w:t>
            </w:r>
            <w:r>
              <w:rPr>
                <w:rStyle w:val="VerbatimChar"/>
              </w:rPr>
              <w:t xml:space="preserve">07_rano_logistic_roc_40gy.png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6</w:t>
            </w:r>
          </w:p>
        </w:tc>
        <w:tc>
          <w:tcPr/>
          <w:p>
            <w:pPr>
              <w:pStyle w:val="Compact"/>
            </w:pPr>
            <w:r>
              <w:t xml:space="preserve">Volume validation scatter (</w:t>
            </w:r>
            <w:r>
              <w:rPr>
                <w:rStyle w:val="VerbatimChar"/>
              </w:rPr>
              <w:t xml:space="preserve">07_rano_volume_validation_40gy.png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7</w:t>
            </w:r>
          </w:p>
        </w:tc>
        <w:tc>
          <w:tcPr/>
          <w:p>
            <w:pPr>
              <w:pStyle w:val="Compact"/>
            </w:pPr>
            <w:r>
              <w:t xml:space="preserve">Pooled RANO ROC (</w:t>
            </w:r>
            <w:r>
              <w:rPr>
                <w:rStyle w:val="VerbatimChar"/>
              </w:rPr>
              <w:t xml:space="preserve">08_pooled_rano_roc.png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8</w:t>
            </w:r>
          </w:p>
        </w:tc>
        <w:tc>
          <w:tcPr/>
          <w:p>
            <w:pPr>
              <w:pStyle w:val="Compact"/>
            </w:pPr>
            <w:r>
              <w:t xml:space="preserve">PyRadiomics vs volume AUC (</w:t>
            </w:r>
            <w:r>
              <w:rPr>
                <w:rStyle w:val="VerbatimChar"/>
              </w:rPr>
              <w:t xml:space="preserve">08_pyradiomics_vs_volume_auc.png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9</w:t>
            </w:r>
          </w:p>
        </w:tc>
        <w:tc>
          <w:tcPr/>
          <w:p>
            <w:pPr>
              <w:pStyle w:val="Compact"/>
            </w:pPr>
            <w:r>
              <w:t xml:space="preserve">PyRadiomics nested CV (</w:t>
            </w:r>
            <w:r>
              <w:rPr>
                <w:rStyle w:val="VerbatimChar"/>
              </w:rPr>
              <w:t xml:space="preserve">08_pyradiomics_nested_cv_auc.png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resentation-outline-15-slides"/>
    <w:p>
      <w:pPr>
        <w:pStyle w:val="Heading2"/>
      </w:pPr>
      <w:r>
        <w:t xml:space="preserve">Presentation outline (15 slides)</w:t>
      </w:r>
    </w:p>
    <w:p>
      <w:pPr>
        <w:pStyle w:val="Compact"/>
        <w:numPr>
          <w:ilvl w:val="0"/>
          <w:numId w:val="1004"/>
        </w:numPr>
      </w:pPr>
      <w:r>
        <w:t xml:space="preserve">Title &amp; motivation (TCP + open data) [4,8]</w:t>
      </w:r>
    </w:p>
    <w:p>
      <w:pPr>
        <w:pStyle w:val="Compact"/>
        <w:numPr>
          <w:ilvl w:val="0"/>
          <w:numId w:val="1004"/>
        </w:numPr>
      </w:pPr>
      <w:r>
        <w:t xml:space="preserve">CFB-GBM overview (TCIA v3, RANO) [8–10]</w:t>
      </w:r>
    </w:p>
    <w:p>
      <w:pPr>
        <w:pStyle w:val="Compact"/>
        <w:numPr>
          <w:ilvl w:val="0"/>
          <w:numId w:val="1004"/>
        </w:numPr>
      </w:pPr>
      <w:r>
        <w:t xml:space="preserve">Cohort flowchart (264→190)</w:t>
      </w:r>
    </w:p>
    <w:p>
      <w:pPr>
        <w:pStyle w:val="Compact"/>
        <w:numPr>
          <w:ilvl w:val="0"/>
          <w:numId w:val="1004"/>
        </w:numPr>
      </w:pPr>
      <w:r>
        <w:t xml:space="preserve">Methods pipeline diagram</w:t>
      </w:r>
    </w:p>
    <w:p>
      <w:pPr>
        <w:pStyle w:val="Compact"/>
        <w:numPr>
          <w:ilvl w:val="0"/>
          <w:numId w:val="1004"/>
        </w:numPr>
      </w:pPr>
      <w:r>
        <w:t xml:space="preserve">TCP model equations (1 slide) [4–6,11]</w:t>
      </w:r>
    </w:p>
    <w:p>
      <w:pPr>
        <w:pStyle w:val="Compact"/>
        <w:numPr>
          <w:ilvl w:val="0"/>
          <w:numId w:val="1004"/>
        </w:numPr>
      </w:pPr>
      <w:r>
        <w:t xml:space="preserve">Clinical results: OS by scheme + WHO PS [2,15]</w:t>
      </w:r>
    </w:p>
    <w:p>
      <w:pPr>
        <w:pStyle w:val="Compact"/>
        <w:numPr>
          <w:ilvl w:val="0"/>
          <w:numId w:val="1004"/>
        </w:numPr>
      </w:pPr>
      <w:r>
        <w:t xml:space="preserve">Pooled TCP OS proxy (AUC 0.68) + caveat [7]</w:t>
      </w:r>
    </w:p>
    <w:p>
      <w:pPr>
        <w:pStyle w:val="Compact"/>
        <w:numPr>
          <w:ilvl w:val="0"/>
          <w:numId w:val="1004"/>
        </w:numPr>
      </w:pPr>
      <w:r>
        <w:t xml:space="preserve">RANO pooled failure (AUC 0.43) — confounding [12,15]</w:t>
      </w:r>
    </w:p>
    <w:p>
      <w:pPr>
        <w:pStyle w:val="Compact"/>
        <w:numPr>
          <w:ilvl w:val="0"/>
          <w:numId w:val="1004"/>
        </w:numPr>
      </w:pPr>
      <w:r>
        <w:t xml:space="preserve">Pooled volume+scheme models (AUC 0.72) + LOOCV 0.64</w:t>
      </w:r>
    </w:p>
    <w:p>
      <w:pPr>
        <w:pStyle w:val="Compact"/>
        <w:numPr>
          <w:ilvl w:val="0"/>
          <w:numId w:val="1004"/>
        </w:numPr>
      </w:pPr>
      <w:r>
        <w:t xml:space="preserve">Within-arm 40 Gy: volume→RANO + LOOCV 0.74 [16]</w:t>
      </w:r>
    </w:p>
    <w:p>
      <w:pPr>
        <w:pStyle w:val="Compact"/>
        <w:numPr>
          <w:ilvl w:val="0"/>
          <w:numId w:val="1004"/>
        </w:numPr>
      </w:pPr>
      <w:r>
        <w:t xml:space="preserve">PyRadiomics vs DVH volume (AUC 0.78 vs 0.71) [9,17]</w:t>
      </w:r>
    </w:p>
    <w:p>
      <w:pPr>
        <w:pStyle w:val="Compact"/>
        <w:numPr>
          <w:ilvl w:val="0"/>
          <w:numId w:val="1004"/>
        </w:numPr>
      </w:pPr>
      <w:r>
        <w:t xml:space="preserve">Cox: RANO predicts OS [14]</w:t>
      </w:r>
    </w:p>
    <w:p>
      <w:pPr>
        <w:pStyle w:val="Compact"/>
        <w:numPr>
          <w:ilvl w:val="0"/>
          <w:numId w:val="1004"/>
        </w:numPr>
      </w:pPr>
      <w:r>
        <w:t xml:space="preserve">Limitations (honest)</w:t>
      </w:r>
    </w:p>
    <w:p>
      <w:pPr>
        <w:pStyle w:val="Compact"/>
        <w:numPr>
          <w:ilvl w:val="0"/>
          <w:numId w:val="1004"/>
        </w:numPr>
      </w:pPr>
      <w:r>
        <w:t xml:space="preserve">Comparison to Moreau radiomics + checklist [9,10]</w:t>
      </w:r>
    </w:p>
    <w:p>
      <w:pPr>
        <w:pStyle w:val="Compact"/>
        <w:numPr>
          <w:ilvl w:val="0"/>
          <w:numId w:val="1004"/>
        </w:numPr>
      </w:pPr>
      <w:r>
        <w:t xml:space="preserve">Conclusions + DOI [8]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Numbers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reports/metrics/</w:t>
      </w:r>
      <w:r>
        <w:rPr>
          <w:i/>
          <w:iCs/>
        </w:rPr>
        <w:t xml:space="preserve"> </w:t>
      </w:r>
      <w:r>
        <w:rPr>
          <w:i/>
          <w:iCs/>
        </w:rPr>
        <w:t xml:space="preserve">on 2026-06-28. Reference DOIs verified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reports/literature_table.csv</w:t>
      </w:r>
      <w:r>
        <w:rPr>
          <w:i/>
          <w:iCs/>
        </w:rPr>
        <w:t xml:space="preserve">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oi.org/10.7937/v9pn-2f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oi.org/10.7937/v9pn-2f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2026-06-28T17:09:16Z</dcterms:created>
  <dcterms:modified xsi:type="dcterms:W3CDTF">2026-06-28T17:09:16Z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