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8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47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Project Report: TCP Modeling in Glioblastoma (CFB-GBM)</w:t>
      </w:r>
    </w:p>
    <w:p>
      <w:pPr>
        <w:pStyle w:val="Author"/>
      </w:pPr>
      <w:r>
        <w:t xml:space="preserve">TCP Modeling GBM Project Group</w:t>
      </w:r>
    </w:p>
    <w:bookmarkStart w:id="59" w:name="Xdbe4f7660bf7b30307f01bf49b2abd03d3a404d"/>
    <w:p>
      <w:pPr>
        <w:pStyle w:val="Heading1"/>
      </w:pPr>
      <w:r>
        <w:t xml:space="preserve">Final Project Report: Tumor Control Probability Modeling in Glioblastoma</w:t>
      </w:r>
    </w:p>
    <w:p>
      <w:pPr>
        <w:pStyle w:val="FirstParagraph"/>
      </w:pPr>
      <w:r>
        <w:rPr>
          <w:b/>
          <w:bCs/>
        </w:rPr>
        <w:t xml:space="preserve">Course:</w:t>
      </w:r>
      <w:r>
        <w:t xml:space="preserve"> </w:t>
      </w:r>
      <w:r>
        <w:t xml:space="preserve">TCP Modeling in GBM — Final Project</w:t>
      </w:r>
      <w:r>
        <w:br/>
      </w:r>
      <w:r>
        <w:rPr>
          <w:b/>
          <w:bCs/>
        </w:rPr>
        <w:t xml:space="preserve">Dataset:</w:t>
      </w:r>
      <w:r>
        <w:t xml:space="preserve"> </w:t>
      </w:r>
      <w:r>
        <w:t xml:space="preserve">CFB-GBM (TCIA v3, DOI</w:t>
      </w:r>
      <w:r>
        <w:t xml:space="preserve"> </w:t>
      </w:r>
      <w:hyperlink r:id="rId9">
        <w:r>
          <w:rPr>
            <w:rStyle w:val="Hyperlink"/>
          </w:rPr>
          <w:t xml:space="preserve">10.7937/v9pn-2f72</w:t>
        </w:r>
      </w:hyperlink>
      <w:r>
        <w:t xml:space="preserve">)</w:t>
      </w:r>
      <w:r>
        <w:br/>
      </w:r>
      <w:r>
        <w:rPr>
          <w:b/>
          <w:bCs/>
        </w:rPr>
        <w:t xml:space="preserve">Modeling cohort:</w:t>
      </w:r>
      <w:r>
        <w:t xml:space="preserve"> </w:t>
      </w:r>
      <w:r>
        <w:t xml:space="preserve">n=190 (after DVH QC) ·</w:t>
      </w:r>
      <w:r>
        <w:t xml:space="preserve"> </w:t>
      </w:r>
      <w:r>
        <w:rPr>
          <w:b/>
          <w:bCs/>
        </w:rPr>
        <w:t xml:space="preserve">RANO subset:</w:t>
      </w:r>
      <w:r>
        <w:t xml:space="preserve"> </w:t>
      </w:r>
      <w:r>
        <w:t xml:space="preserve">n=137</w:t>
      </w:r>
      <w:r>
        <w:br/>
      </w:r>
      <w:r>
        <w:rPr>
          <w:b/>
          <w:bCs/>
        </w:rPr>
        <w:t xml:space="preserve">Report date:</w:t>
      </w:r>
      <w:r>
        <w:t xml:space="preserve"> </w:t>
      </w:r>
      <w:r>
        <w:t xml:space="preserve">2026-06-28 · Numbers from</w:t>
      </w:r>
      <w:r>
        <w:t xml:space="preserve"> </w:t>
      </w:r>
      <w:hyperlink r:id="rId10">
        <w:r>
          <w:rPr>
            <w:rStyle w:val="VerbatimChar"/>
          </w:rPr>
          <w:t xml:space="preserve">RESULTS.md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make report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Start w:id="1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We implemented a reproducible Python pipeline for Tumor Control Probability (TCP) modeling on the open CFB-GBM glioblastoma cohort. Four TCP models (Poisson, logistic, probit, gEUD) were fitted with bootstrap confidence intervals. Version 3 supplementary data provided RANO imaging response labels and author PyRadiomics features. Pooled EQD2 discriminated an OS median-split proxy (AUC≈0.68) but not RANO non-progressive disease (AUC≈0.43) when used as a dose-only predictor. After adjusting for fractionation scheme, GTV volume and radiomics features predicted early RANO with moderate cross-validated discrimination (LOOCV AUC≈0.64–0.74). Classical pooled TCP dose–response validation is not supported on this routine-care dataset; we provide a feasibility checklist for future open-cohort TCP studies.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glioblastoma; TCP; DVH; RANO; CFB-GBM; open data</w:t>
      </w:r>
    </w:p>
    <w:p>
      <w:r>
        <w:pict>
          <v:rect style="width:0;height:1.5pt" o:hralign="center" o:hrstd="t" o:hr="t"/>
        </w:pict>
      </w:r>
    </w:p>
    <w:bookmarkEnd w:id="11"/>
    <w:bookmarkStart w:id="12" w:name="introduction-and-clinical-background"/>
    <w:p>
      <w:pPr>
        <w:pStyle w:val="Heading2"/>
      </w:pPr>
      <w:r>
        <w:t xml:space="preserve">1. Introduction and Clinical Background</w:t>
      </w:r>
    </w:p>
    <w:p>
      <w:pPr>
        <w:pStyle w:val="FirstParagraph"/>
      </w:pPr>
      <w:r>
        <w:t xml:space="preserve">Glioblastoma (GBM) is the most common malignant primary brain tumour in adults. Standard treatment includes maximal safe resection, radiotherapy, and concurrent temozolomide (Stupp protocol: 60 Gy in 30 fractions) [1]. In elderly or poor-performance patients, hypofractionated schedules (e.g. 40 Gy in 15 fractions) are commonly used [2,3,15].</w:t>
      </w:r>
    </w:p>
    <w:p>
      <w:pPr>
        <w:pStyle w:val="BodyText"/>
      </w:pPr>
      <w:r>
        <w:rPr>
          <w:b/>
          <w:bCs/>
        </w:rPr>
        <w:t xml:space="preserve">Tumor Control Probability (TCP)</w:t>
      </w:r>
      <w:r>
        <w:t xml:space="preserve"> </w:t>
      </w:r>
      <w:r>
        <w:t xml:space="preserve">models estimate the probability of sterilising clonogenic tumour cells as a function of dose and radiobiological parameters [4,5]. Valid TCP studies require (i) a well-defined tumour control endpoint, (ii) inter-patient dose variation, and (iii) adequate sample size [7].</w:t>
      </w:r>
    </w:p>
    <w:p>
      <w:pPr>
        <w:pStyle w:val="BodyText"/>
      </w:pPr>
      <w:r>
        <w:t xml:space="preserve">The CFB-GBM dataset (Centre François Baclesse, n=264) provides MRI, RTDOSE, GTV contours, clinical covariates, and RANO response labels [8–10].</w:t>
      </w:r>
      <w:r>
        <w:t xml:space="preserve"> </w:t>
      </w:r>
      <w:r>
        <w:rPr>
          <w:b/>
          <w:bCs/>
        </w:rPr>
        <w:t xml:space="preserve">Project aim:</w:t>
      </w:r>
      <w:r>
        <w:t xml:space="preserve"> </w:t>
      </w:r>
      <w:r>
        <w:t xml:space="preserve">build a standard TCP pipeline on this open cohort and assess whether classical dose–response validation is feasible; if not, identify where prognostic signal remains.</w:t>
      </w:r>
    </w:p>
    <w:p>
      <w:r>
        <w:pict>
          <v:rect style="width:0;height:1.5pt" o:hralign="center" o:hrstd="t" o:hr="t"/>
        </w:pict>
      </w:r>
    </w:p>
    <w:bookmarkEnd w:id="12"/>
    <w:bookmarkStart w:id="13" w:name="dataset-description"/>
    <w:p>
      <w:pPr>
        <w:pStyle w:val="Heading2"/>
      </w:pPr>
      <w:r>
        <w:t xml:space="preserve">2. Dataset Description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TCIA CFB-GBM Version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patients (TSV)</w:t>
            </w:r>
          </w:p>
        </w:tc>
        <w:tc>
          <w:tcPr/>
          <w:p>
            <w:pPr>
              <w:pStyle w:val="Compact"/>
            </w:pPr>
            <w:r>
              <w:t xml:space="preserve">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Included for modeling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Excluded</w:t>
            </w:r>
          </w:p>
        </w:tc>
        <w:tc>
          <w:tcPr/>
          <w:p>
            <w:pPr>
              <w:pStyle w:val="Compact"/>
            </w:pPr>
            <w:r>
              <w:t xml:space="preserve">74 (unknown dose, missing imaging, etc.)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DVH QC exclusion</w:t>
            </w:r>
          </w:p>
        </w:tc>
        <w:tc>
          <w:tcPr/>
          <w:p>
            <w:pPr>
              <w:pStyle w:val="Compact"/>
            </w:pPr>
            <w:r>
              <w:t xml:space="preserve">1 (patient 32, Dmean=0 Gy)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Fractionation</w:t>
            </w:r>
          </w:p>
        </w:tc>
        <w:tc>
          <w:tcPr/>
          <w:p>
            <w:pPr>
              <w:pStyle w:val="Compact"/>
            </w:pPr>
            <w:r>
              <w:t xml:space="preserve">120 × 60 Gy/30 fr; 61 × 40.05 Gy/15 fr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age</w:t>
            </w:r>
          </w:p>
        </w:tc>
        <w:tc>
          <w:tcPr/>
          <w:p>
            <w:pPr>
              <w:pStyle w:val="Compact"/>
            </w:pPr>
            <w:r>
              <w:t xml:space="preserve">70 years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OS</w:t>
            </w:r>
          </w:p>
        </w:tc>
        <w:tc>
          <w:tcPr/>
          <w:p>
            <w:pPr>
              <w:pStyle w:val="Compact"/>
            </w:pPr>
            <w:r>
              <w:t xml:space="preserve">51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RANO t0→t1 labels</w:t>
            </w:r>
          </w:p>
        </w:tc>
        <w:tc>
          <w:tcPr/>
          <w:p>
            <w:pPr>
              <w:pStyle w:val="Compact"/>
            </w:pPr>
            <w:r>
              <w:t xml:space="preserve">137 / 190</w:t>
            </w:r>
          </w:p>
        </w:tc>
      </w:tr>
    </w:tbl>
    <w:p>
      <w:pPr>
        <w:pStyle w:val="BodyText"/>
      </w:pPr>
      <w:r>
        <w:rPr>
          <w:b/>
          <w:bCs/>
        </w:rPr>
        <w:t xml:space="preserve">Imaging format:</w:t>
      </w:r>
      <w:r>
        <w:t xml:space="preserve"> </w:t>
      </w:r>
      <w:r>
        <w:t xml:space="preserve">Pre-processed</w:t>
      </w:r>
      <w:r>
        <w:t xml:space="preserve"> </w:t>
      </w:r>
      <w:r>
        <w:rPr>
          <w:b/>
          <w:bCs/>
        </w:rPr>
        <w:t xml:space="preserve">NIfTI</w:t>
      </w:r>
      <w:r>
        <w:t xml:space="preserve"> </w:t>
      </w:r>
      <w:r>
        <w:t xml:space="preserve">(skull-stripped, co-registered), not raw DICOM-RT. RTPLAN/RTSTRUCT DICOM are not in the public package.</w:t>
      </w:r>
      <w:r>
        <w:t xml:space="preserve"> </w:t>
      </w:r>
      <w:r>
        <w:rPr>
          <w:b/>
          <w:bCs/>
        </w:rPr>
        <w:t xml:space="preserve">GTV-only</w:t>
      </w:r>
      <w:r>
        <w:t xml:space="preserve"> </w:t>
      </w:r>
      <w:r>
        <w:t xml:space="preserve">contours at t0; CTV/PTV not provided.</w:t>
      </w:r>
    </w:p>
    <w:p>
      <w:r>
        <w:pict>
          <v:rect style="width:0;height:1.5pt" o:hralign="center" o:hrstd="t" o:hr="t"/>
        </w:pict>
      </w:r>
    </w:p>
    <w:bookmarkEnd w:id="13"/>
    <w:bookmarkStart w:id="14" w:name="data-acquisition-and-curation"/>
    <w:p>
      <w:pPr>
        <w:pStyle w:val="Heading2"/>
      </w:pPr>
      <w:r>
        <w:t xml:space="preserve">3. Data Acquisition and Curation</w:t>
      </w:r>
    </w:p>
    <w:p>
      <w:pPr>
        <w:pStyle w:val="Compact"/>
        <w:numPr>
          <w:ilvl w:val="0"/>
          <w:numId w:val="1001"/>
        </w:numPr>
      </w:pPr>
      <w:r>
        <w:t xml:space="preserve">Downloaded clinical/treatment/RANO/PyRadiomics TSVs (</w:t>
      </w:r>
      <w:r>
        <w:rPr>
          <w:rStyle w:val="VerbatimChar"/>
        </w:rPr>
        <w:t xml:space="preserve">python -m src.data.download_clinical_data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Built</w:t>
      </w:r>
      <w:r>
        <w:t xml:space="preserve"> </w:t>
      </w:r>
      <w:r>
        <w:rPr>
          <w:rStyle w:val="VerbatimChar"/>
        </w:rPr>
        <w:t xml:space="preserve">cohort.csv</w:t>
      </w:r>
      <w:r>
        <w:t xml:space="preserve"> </w:t>
      </w:r>
      <w:r>
        <w:t xml:space="preserve">with inclusion rules (</w:t>
      </w:r>
      <w:r>
        <w:rPr>
          <w:rStyle w:val="VerbatimChar"/>
        </w:rPr>
        <w:t xml:space="preserve">cohort_builder.py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Downloaded RTDOSE + GTV t0 NIfTI for 191 patients (IBM Aspera).</w:t>
      </w:r>
    </w:p>
    <w:p>
      <w:pPr>
        <w:pStyle w:val="Compact"/>
        <w:numPr>
          <w:ilvl w:val="0"/>
          <w:numId w:val="1001"/>
        </w:numPr>
      </w:pPr>
      <w:r>
        <w:t xml:space="preserve">Verified completeness (</w:t>
      </w:r>
      <w:r>
        <w:rPr>
          <w:rStyle w:val="VerbatimChar"/>
        </w:rPr>
        <w:t xml:space="preserve">verify_raw_data.py</w:t>
      </w:r>
      <w:r>
        <w:t xml:space="preserve">); extracted DVH metrics (</w:t>
      </w:r>
      <w:r>
        <w:rPr>
          <w:rStyle w:val="VerbatimChar"/>
        </w:rPr>
        <w:t xml:space="preserve">feature_builder.py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Merged into</w:t>
      </w:r>
      <w:r>
        <w:t xml:space="preserve"> </w:t>
      </w:r>
      <w:r>
        <w:rPr>
          <w:rStyle w:val="VerbatimChar"/>
        </w:rPr>
        <w:t xml:space="preserve">modeling_table.csv</w:t>
      </w:r>
      <w:r>
        <w:t xml:space="preserve"> </w:t>
      </w:r>
      <w:r>
        <w:t xml:space="preserve">(190 × 58 columns).</w:t>
      </w:r>
    </w:p>
    <w:p>
      <w:pPr>
        <w:pStyle w:val="FirstParagraph"/>
      </w:pPr>
      <w:r>
        <w:t xml:space="preserve">EQD2 computed with α/β = 10 Gy for GTV [6,11].</w:t>
      </w:r>
    </w:p>
    <w:p>
      <w:r>
        <w:pict>
          <v:rect style="width:0;height:1.5pt" o:hralign="center" o:hrstd="t" o:hr="t"/>
        </w:pict>
      </w:r>
    </w:p>
    <w:bookmarkEnd w:id="14"/>
    <w:bookmarkStart w:id="15" w:name="dosimetric-feature-extraction"/>
    <w:p>
      <w:pPr>
        <w:pStyle w:val="Heading2"/>
      </w:pPr>
      <w:r>
        <w:t xml:space="preserve">4. Dosimetric Feature Extraction</w:t>
      </w:r>
    </w:p>
    <w:p>
      <w:pPr>
        <w:pStyle w:val="FirstParagraph"/>
      </w:pPr>
      <w:r>
        <w:t xml:space="preserve">From registered RTDOSE and t0 GTV masks we computed:</w:t>
      </w:r>
    </w:p>
    <w:p>
      <w:pPr>
        <w:pStyle w:val="Compact"/>
        <w:numPr>
          <w:ilvl w:val="0"/>
          <w:numId w:val="1002"/>
        </w:numPr>
      </w:pPr>
      <w:r>
        <w:t xml:space="preserve">Cumulative</w:t>
      </w:r>
      <w:r>
        <w:t xml:space="preserve"> </w:t>
      </w:r>
      <w:r>
        <w:rPr>
          <w:b/>
          <w:bCs/>
        </w:rPr>
        <w:t xml:space="preserve">DVH</w:t>
      </w:r>
      <w:r>
        <w:t xml:space="preserve"> </w:t>
      </w:r>
      <w:r>
        <w:t xml:space="preserve">and scalars: D95, D98, D50, D2, Dmean, Dmax, GTV</w:t>
      </w:r>
      <w:r>
        <w:t xml:space="preserve"> </w:t>
      </w:r>
      <w:r>
        <w:rPr>
          <w:b/>
          <w:bCs/>
        </w:rPr>
        <w:t xml:space="preserve">volume_cc</w:t>
      </w:r>
      <w:r>
        <w:t xml:space="preserve">, Vx,</w:t>
      </w:r>
      <w:r>
        <w:t xml:space="preserve"> </w:t>
      </w:r>
      <w:r>
        <w:rPr>
          <w:b/>
          <w:bCs/>
        </w:rPr>
        <w:t xml:space="preserve">gEUD</w:t>
      </w:r>
      <w:r>
        <w:t xml:space="preserve"> </w:t>
      </w:r>
      <w:r>
        <w:t xml:space="preserve">(a = −10, 1, 10), homogeneity index (HI).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EQD2</w:t>
      </w:r>
      <w:r>
        <w:t xml:space="preserve"> </w:t>
      </w:r>
      <w:r>
        <w:t xml:space="preserve">for cross-scheme comparison.</w:t>
      </w:r>
    </w:p>
    <w:p>
      <w:pPr>
        <w:pStyle w:val="FirstParagraph"/>
      </w:pPr>
      <w:r>
        <w:t xml:space="preserve">Within the 60 Gy arm, GTV Dmean SD =</w:t>
      </w:r>
      <w:r>
        <w:t xml:space="preserve"> </w:t>
      </w:r>
      <w:r>
        <w:rPr>
          <w:b/>
          <w:bCs/>
        </w:rPr>
        <w:t xml:space="preserve">0.28 Gy</w:t>
      </w:r>
      <w:r>
        <w:t xml:space="preserve"> </w:t>
      </w:r>
      <w:r>
        <w:t xml:space="preserve">— essentially no dose escalation within protocol.</w:t>
      </w:r>
    </w:p>
    <w:p>
      <w:r>
        <w:pict>
          <v:rect style="width:0;height:1.5pt" o:hralign="center" o:hrstd="t" o:hr="t"/>
        </w:pict>
      </w:r>
    </w:p>
    <w:bookmarkEnd w:id="15"/>
    <w:bookmarkStart w:id="16" w:name="mathematical-description-of-tcp-models"/>
    <w:p>
      <w:pPr>
        <w:pStyle w:val="Heading2"/>
      </w:pPr>
      <w:r>
        <w:t xml:space="preserve">5. Mathematical Description of TCP Models</w:t>
      </w:r>
    </w:p>
    <w:p>
      <w:pPr>
        <w:pStyle w:val="FirstParagraph"/>
      </w:pPr>
      <w:r>
        <w:t xml:space="preserve">Four binary-outcome TCP formulations [4–7]: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Poisson TCP:</w:t>
      </w:r>
      <w:r>
        <w:t xml:space="preserve"> </w:t>
      </w:r>
      <w:r>
        <w:t xml:space="preserve">clonogenic cell survival; parameters D50, γ50.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Logistic TCP:</w:t>
      </w:r>
      <w:r>
        <w:t xml:space="preserve"> </w:t>
      </w:r>
      <w:r>
        <w:t xml:space="preserve">sigmoid dose–response; D50, 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Probit TCP:</w:t>
      </w:r>
      <w:r>
        <w:t xml:space="preserve"> </w:t>
      </w:r>
      <w:r>
        <w:t xml:space="preserve">normal CDF link; D50, σ.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gEUD TCP:</w:t>
      </w:r>
      <w:r>
        <w:t xml:space="preserve"> </w:t>
      </w:r>
      <w:r>
        <w:t xml:space="preserve">dose metric from full DVH, then Poisson-style TCP; extra parameter a.</w:t>
      </w:r>
    </w:p>
    <w:p>
      <w:pPr>
        <w:pStyle w:val="FirstParagraph"/>
      </w:pPr>
      <w:r>
        <w:t xml:space="preserve">Full equations:</w:t>
      </w:r>
      <w:r>
        <w:t xml:space="preserve"> </w:t>
      </w:r>
      <w:r>
        <w:rPr>
          <w:rStyle w:val="VerbatimChar"/>
        </w:rPr>
        <w:t xml:space="preserve">reports/manuscript_equations_fragment.tex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Estimation:</w:t>
      </w:r>
      <w:r>
        <w:t xml:space="preserve"> </w:t>
      </w:r>
      <w:r>
        <w:t xml:space="preserve">maximum likelihood;</w:t>
      </w:r>
      <w:r>
        <w:t xml:space="preserve"> </w:t>
      </w:r>
      <w:r>
        <w:rPr>
          <w:b/>
          <w:bCs/>
        </w:rPr>
        <w:t xml:space="preserve">95% CI:</w:t>
      </w:r>
      <w:r>
        <w:t xml:space="preserve"> </w:t>
      </w:r>
      <w:r>
        <w:t xml:space="preserve">bootstrap (1000 resamples, seed 42).</w:t>
      </w:r>
    </w:p>
    <w:p>
      <w:r>
        <w:pict>
          <v:rect style="width:0;height:1.5pt" o:hralign="center" o:hrstd="t" o:hr="t"/>
        </w:pict>
      </w:r>
    </w:p>
    <w:bookmarkEnd w:id="16"/>
    <w:bookmarkStart w:id="17" w:name="X51a440a4d510b32fde2bc828f7852bd297e68a7"/>
    <w:p>
      <w:pPr>
        <w:pStyle w:val="Heading2"/>
      </w:pPr>
      <w:r>
        <w:t xml:space="preserve">6. Parameter Estimation and Model Comparison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ROC AUC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Probit TCP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0.218</w:t>
            </w:r>
          </w:p>
        </w:tc>
        <w:tc>
          <w:tcPr/>
          <w:p>
            <w:pPr>
              <w:pStyle w:val="Compact"/>
            </w:pPr>
            <w:r>
              <w:t xml:space="preserve">Best AIC (marginal)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TCP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0.218</w:t>
            </w:r>
          </w:p>
        </w:tc>
        <w:tc>
          <w:tcPr/>
          <w:p>
            <w:pPr>
              <w:pStyle w:val="Compact"/>
            </w:pPr>
            <w:r>
              <w:t xml:space="preserve">≈ Poisson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 TCP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0.218</w:t>
            </w:r>
          </w:p>
        </w:tc>
        <w:tc>
          <w:tcPr/>
          <w:p>
            <w:pPr>
              <w:pStyle w:val="Compact"/>
            </w:pPr>
            <w:r>
              <w:t xml:space="preserve">D50≈53 Gy, γ50≈3.3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gEUD TCP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0.218</w:t>
            </w:r>
          </w:p>
        </w:tc>
        <w:tc>
          <w:tcPr/>
          <w:p>
            <w:pPr>
              <w:pStyle w:val="Compact"/>
            </w:pPr>
            <w:r>
              <w:t xml:space="preserve">3 parameters</w:t>
            </w:r>
          </w:p>
        </w:tc>
      </w:tr>
    </w:tbl>
    <w:p>
      <w:pPr>
        <w:pStyle w:val="BodyText"/>
      </w:pPr>
      <w:r>
        <w:t xml:space="preserve">Bootstrap Poisson (EQD2, OS proxy):</w:t>
      </w:r>
      <w:r>
        <w:t xml:space="preserve"> </w:t>
      </w:r>
      <w:r>
        <w:rPr>
          <w:b/>
          <w:bCs/>
        </w:rPr>
        <w:t xml:space="preserve">D50 = 53.2 Gy</w:t>
      </w:r>
      <w:r>
        <w:t xml:space="preserve"> </w:t>
      </w:r>
      <w:r>
        <w:t xml:space="preserve">[49.5–56.7];</w:t>
      </w:r>
      <w:r>
        <w:t xml:space="preserve"> </w:t>
      </w:r>
      <w:r>
        <w:rPr>
          <w:b/>
          <w:bCs/>
        </w:rPr>
        <w:t xml:space="preserve">γ50 = 3.32</w:t>
      </w:r>
      <w:r>
        <w:t xml:space="preserve"> </w:t>
      </w:r>
      <w:r>
        <w:t xml:space="preserve">[2.06–4.69].</w:t>
      </w:r>
    </w:p>
    <w:p>
      <w:r>
        <w:pict>
          <v:rect style="width:0;height:1.5pt" o:hralign="center" o:hrstd="t" o:hr="t"/>
        </w:pict>
      </w:r>
    </w:p>
    <w:bookmarkEnd w:id="17"/>
    <w:bookmarkStart w:id="51" w:name="results"/>
    <w:p>
      <w:pPr>
        <w:pStyle w:val="Heading2"/>
      </w:pPr>
      <w:r>
        <w:t xml:space="preserve">7. Results</w:t>
      </w:r>
    </w:p>
    <w:bookmarkStart w:id="21" w:name="clinical-prognosis"/>
    <w:p>
      <w:pPr>
        <w:pStyle w:val="Heading3"/>
      </w:pPr>
      <w:r>
        <w:t xml:space="preserve">7.1 Clinical prognosis</w:t>
      </w:r>
    </w:p>
    <w:p>
      <w:pPr>
        <w:pStyle w:val="CaptionedFigure"/>
      </w:pPr>
      <w:r>
        <w:drawing>
          <wp:inline>
            <wp:extent cx="5334000" cy="2140144"/>
            <wp:effectExtent b="0" l="0" r="0" t="0"/>
            <wp:docPr descr="Figure 1" title="" id="19" name="Picture"/>
            <a:graphic>
              <a:graphicData uri="http://schemas.openxmlformats.org/drawingml/2006/picture">
                <pic:pic>
                  <pic:nvPicPr>
                    <pic:cNvPr descr="figures/04_clinical_prognosi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0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Kaplan–Meier OS by fractionation scheme and WHO performance status. Sixty Gy patients had median OS 60 weeks vs 28 weeks for 40 Gy (log-rank p≈3×10⁻⁶). Cox model: scheme HR≈0.54 (p≈0.0007), WHO PS HR≈1.42 (p≈0.001).</w:t>
      </w:r>
    </w:p>
    <w:bookmarkEnd w:id="21"/>
    <w:bookmarkStart w:id="25" w:name="pooled-tcp-os-proxy"/>
    <w:p>
      <w:pPr>
        <w:pStyle w:val="Heading3"/>
      </w:pPr>
      <w:r>
        <w:t xml:space="preserve">7.2 Pooled TCP — OS proxy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Figure 2" title="" id="23" name="Picture"/>
            <a:graphic>
              <a:graphicData uri="http://schemas.openxmlformats.org/drawingml/2006/picture">
                <pic:pic>
                  <pic:nvPicPr>
                    <pic:cNvPr descr="figures/03_tcp_curves_os_proxy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TCP dose–response curves for EQD2 vs OS ≥ median (51 weeks, n=190). AUC≈0.68; LR p≈3×10⁻⁶. Interpretation confounded by fractionation (r(age, EQD2)=−0.57).</w:t>
      </w:r>
    </w:p>
    <w:bookmarkEnd w:id="25"/>
    <w:bookmarkStart w:id="29" w:name="pooled-tcp-rano-endpoint"/>
    <w:p>
      <w:pPr>
        <w:pStyle w:val="Heading3"/>
      </w:pPr>
      <w:r>
        <w:t xml:space="preserve">7.3 Pooled TCP — RANO endpoint</w:t>
      </w:r>
    </w:p>
    <w:p>
      <w:pPr>
        <w:pStyle w:val="CaptionedFigure"/>
      </w:pPr>
      <w:r>
        <w:drawing>
          <wp:inline>
            <wp:extent cx="5334000" cy="3391066"/>
            <wp:effectExtent b="0" l="0" r="0" t="0"/>
            <wp:docPr descr="Figure 3" title="" id="27" name="Picture"/>
            <a:graphic>
              <a:graphicData uri="http://schemas.openxmlformats.org/drawingml/2006/picture">
                <pic:pic>
                  <pic:nvPicPr>
                    <pic:cNvPr descr="figures/05_rano_vs_os_tcp_auc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1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Same Poisson TCP on 137 RANO-labelled patients: OS proxy AUC≈0.62;</w:t>
      </w:r>
      <w:r>
        <w:t xml:space="preserve"> </w:t>
      </w:r>
      <w:r>
        <w:rPr>
          <w:b/>
          <w:bCs/>
        </w:rPr>
        <w:t xml:space="preserve">RANO non-PD AUC≈0.43</w:t>
      </w:r>
      <w:r>
        <w:t xml:space="preserve"> </w:t>
      </w:r>
      <w:r>
        <w:t xml:space="preserve">(no signal). Higher EQD2 associated with more early PD at t1 (27% vs 15% by scheme).</w:t>
      </w:r>
    </w:p>
    <w:bookmarkEnd w:id="29"/>
    <w:bookmarkStart w:id="33" w:name="within-arm-analysis"/>
    <w:p>
      <w:pPr>
        <w:pStyle w:val="Heading3"/>
      </w:pPr>
      <w:r>
        <w:t xml:space="preserve">7.4 Within-arm analysis</w:t>
      </w:r>
    </w:p>
    <w:p>
      <w:pPr>
        <w:pStyle w:val="CaptionedFigure"/>
      </w:pPr>
      <w:r>
        <w:drawing>
          <wp:inline>
            <wp:extent cx="5334000" cy="2962077"/>
            <wp:effectExtent b="0" l="0" r="0" t="0"/>
            <wp:docPr descr="Figure 4" title="" id="31" name="Picture"/>
            <a:graphic>
              <a:graphicData uri="http://schemas.openxmlformats.org/drawingml/2006/picture">
                <pic:pic>
                  <pic:nvPicPr>
                    <pic:cNvPr descr="figures/06_within_arm_rano_tcp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20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Stratified by fractionation: dose metrics flat within arm;</w:t>
      </w:r>
      <w:r>
        <w:t xml:space="preserve"> </w:t>
      </w:r>
      <w:r>
        <w:rPr>
          <w:b/>
          <w:bCs/>
        </w:rPr>
        <w:t xml:space="preserve">GTV volume</w:t>
      </w:r>
      <w:r>
        <w:t xml:space="preserve"> </w:t>
      </w:r>
      <w:r>
        <w:t xml:space="preserve">predicts RANO in 40 Gy arm (n=34; Poisson AUC=0.83, p≈0.037).</w:t>
      </w:r>
    </w:p>
    <w:bookmarkEnd w:id="33"/>
    <w:bookmarkStart w:id="43" w:name="multivariable-and-pooled-rano-models"/>
    <w:p>
      <w:pPr>
        <w:pStyle w:val="Heading3"/>
      </w:pPr>
      <w:r>
        <w:t xml:space="preserve">7.5 Multivariable and pooled RANO models</w:t>
      </w:r>
    </w:p>
    <w:p>
      <w:pPr>
        <w:pStyle w:val="CaptionedFigure"/>
      </w:pPr>
      <w:r>
        <w:drawing>
          <wp:inline>
            <wp:extent cx="4428264" cy="4458846"/>
            <wp:effectExtent b="0" l="0" r="0" t="0"/>
            <wp:docPr descr="Figure 5" title="" id="35" name="Picture"/>
            <a:graphic>
              <a:graphicData uri="http://schemas.openxmlformats.org/drawingml/2006/picture">
                <pic:pic>
                  <pic:nvPicPr>
                    <pic:cNvPr descr="figures/07_rano_logistic_roc_40gy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8264" cy="4458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</w:t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40 Gy arm multivariable logistic ROC (volume + age + PS; in-sample AUC=0.90).</w:t>
      </w:r>
    </w:p>
    <w:p>
      <w:pPr>
        <w:pStyle w:val="CaptionedFigure"/>
      </w:pPr>
      <w:r>
        <w:drawing>
          <wp:inline>
            <wp:extent cx="4923692" cy="4458846"/>
            <wp:effectExtent b="0" l="0" r="0" t="0"/>
            <wp:docPr descr="Figure 6" title="" id="38" name="Picture"/>
            <a:graphic>
              <a:graphicData uri="http://schemas.openxmlformats.org/drawingml/2006/picture">
                <pic:pic>
                  <pic:nvPicPr>
                    <pic:cNvPr descr="figures/07_rano_volume_validation_40gy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3692" cy="4458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</w:t>
      </w:r>
    </w:p>
    <w:p>
      <w:pPr>
        <w:pStyle w:val="BodyText"/>
      </w:pPr>
      <w:r>
        <w:rPr>
          <w:b/>
          <w:bCs/>
        </w:rPr>
        <w:t xml:space="preserve">Figure 6.</w:t>
      </w:r>
      <w:r>
        <w:t xml:space="preserve"> </w:t>
      </w:r>
      <w:r>
        <w:t xml:space="preserve">DVH volume validation vs author RANO volumes (ρ=1.00, n=141).</w:t>
      </w:r>
    </w:p>
    <w:p>
      <w:pPr>
        <w:pStyle w:val="CaptionedFigure"/>
      </w:pPr>
      <w:r>
        <w:drawing>
          <wp:inline>
            <wp:extent cx="5334000" cy="4498991"/>
            <wp:effectExtent b="0" l="0" r="0" t="0"/>
            <wp:docPr descr="Figure 7" title="" id="41" name="Picture"/>
            <a:graphic>
              <a:graphicData uri="http://schemas.openxmlformats.org/drawingml/2006/picture">
                <pic:pic>
                  <pic:nvPicPr>
                    <pic:cNvPr descr="figures/08_pooled_rano_roc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8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</w:t>
      </w:r>
    </w:p>
    <w:p>
      <w:pPr>
        <w:pStyle w:val="BodyText"/>
      </w:pPr>
      <w:r>
        <w:rPr>
          <w:b/>
          <w:bCs/>
        </w:rPr>
        <w:t xml:space="preserve">Figure 7.</w:t>
      </w:r>
      <w:r>
        <w:t xml:space="preserve"> </w:t>
      </w:r>
      <w:r>
        <w:t xml:space="preserve">Pooled models (n=137): volume + clinical + scheme AUC≈0.72; LOOCV≈0.64.</w:t>
      </w:r>
    </w:p>
    <w:bookmarkEnd w:id="43"/>
    <w:bookmarkStart w:id="50" w:name="pyradiomics-comparison"/>
    <w:p>
      <w:pPr>
        <w:pStyle w:val="Heading3"/>
      </w:pPr>
      <w:r>
        <w:t xml:space="preserve">7.6 PyRadiomics comparison</w:t>
      </w:r>
    </w:p>
    <w:p>
      <w:pPr>
        <w:pStyle w:val="CaptionedFigure"/>
      </w:pPr>
      <w:r>
        <w:drawing>
          <wp:inline>
            <wp:extent cx="5334000" cy="2959567"/>
            <wp:effectExtent b="0" l="0" r="0" t="0"/>
            <wp:docPr descr="Figure 8" title="" id="45" name="Picture"/>
            <a:graphic>
              <a:graphicData uri="http://schemas.openxmlformats.org/drawingml/2006/picture">
                <pic:pic>
                  <pic:nvPicPr>
                    <pic:cNvPr descr="figures/08_pyradiomics_vs_volume_auc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9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</w:t>
      </w:r>
    </w:p>
    <w:p>
      <w:pPr>
        <w:pStyle w:val="BodyText"/>
      </w:pPr>
      <w:r>
        <w:rPr>
          <w:b/>
          <w:bCs/>
        </w:rPr>
        <w:t xml:space="preserve">Figure 8.</w:t>
      </w:r>
      <w:r>
        <w:t xml:space="preserve"> </w:t>
      </w:r>
      <w:r>
        <w:t xml:space="preserve">Author PyRadiomics (t1gd GTV t0) top-5 features vs DVH volume (in-sample AUC 0.78 vs 0.71).</w:t>
      </w:r>
    </w:p>
    <w:p>
      <w:pPr>
        <w:pStyle w:val="CaptionedFigure"/>
      </w:pPr>
      <w:r>
        <w:drawing>
          <wp:inline>
            <wp:extent cx="5334000" cy="2959567"/>
            <wp:effectExtent b="0" l="0" r="0" t="0"/>
            <wp:docPr descr="Figure 9" title="" id="48" name="Picture"/>
            <a:graphic>
              <a:graphicData uri="http://schemas.openxmlformats.org/drawingml/2006/picture">
                <pic:pic>
                  <pic:nvPicPr>
                    <pic:cNvPr descr="figures/08_pyradiomics_nested_cv_auc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9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</w:t>
      </w:r>
    </w:p>
    <w:p>
      <w:pPr>
        <w:pStyle w:val="BodyText"/>
      </w:pPr>
      <w:r>
        <w:rPr>
          <w:b/>
          <w:bCs/>
        </w:rPr>
        <w:t xml:space="preserve">Figure 9.</w:t>
      </w:r>
      <w:r>
        <w:t xml:space="preserve"> </w:t>
      </w:r>
      <w:r>
        <w:t xml:space="preserve">Nested 5-fold CV reduces optimism: radiomics nested AUC≈0.74 vs volume 0.70.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survival-analysis"/>
    <w:p>
      <w:pPr>
        <w:pStyle w:val="Heading2"/>
      </w:pPr>
      <w:r>
        <w:t xml:space="preserve">8. Survival Analysis</w:t>
      </w:r>
    </w:p>
    <w:p>
      <w:pPr>
        <w:pStyle w:val="FirstParagraph"/>
      </w:pPr>
      <w:r>
        <w:t xml:space="preserve">Kaplan–Meier and Cox proportional hazards models (lifelines) included EQD2, Dmean, age, sex, WHO PS, fractionation scheme, and RANO non-PD.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 (Cox, n=137)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RANO non-PD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</w:tr>
    </w:tbl>
    <w:p>
      <w:pPr>
        <w:pStyle w:val="BodyText"/>
      </w:pPr>
      <w:r>
        <w:t xml:space="preserve">RANO non-PD predicts OS independently of dose and performance status.</w:t>
      </w:r>
    </w:p>
    <w:p>
      <w:r>
        <w:pict>
          <v:rect style="width:0;height:1.5pt" o:hralign="center" o:hrstd="t" o:hr="t"/>
        </w:pict>
      </w:r>
    </w:p>
    <w:bookmarkEnd w:id="52"/>
    <w:bookmarkStart w:id="53" w:name="X6672e6b6c195c7601a02f91371f47f3851f074a"/>
    <w:p>
      <w:pPr>
        <w:pStyle w:val="Heading2"/>
      </w:pPr>
      <w:r>
        <w:t xml:space="preserve">9. Literature Review and TCP Parameter Comparison (Part VI)</w:t>
      </w:r>
    </w:p>
    <w:p>
      <w:pPr>
        <w:pStyle w:val="FirstParagraph"/>
      </w:pPr>
      <w:r>
        <w:t xml:space="preserve">Literature table:</w:t>
      </w:r>
      <w:r>
        <w:t xml:space="preserve"> </w:t>
      </w:r>
      <w:r>
        <w:rPr>
          <w:rStyle w:val="VerbatimChar"/>
        </w:rPr>
        <w:t xml:space="preserve">reports/literature_table.csv</w:t>
      </w:r>
      <w:r>
        <w:t xml:space="preserve"> </w:t>
      </w:r>
      <w:r>
        <w:t xml:space="preserve">(18 references). DOI verification:</w:t>
      </w:r>
      <w:r>
        <w:t xml:space="preserve"> </w:t>
      </w:r>
      <w:r>
        <w:rPr>
          <w:rStyle w:val="VerbatimChar"/>
        </w:rPr>
        <w:t xml:space="preserve">reports/literature_doi_check.md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860"/>
        <w:gridCol w:w="1721"/>
        <w:gridCol w:w="22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D50 (Gy)</w:t>
            </w:r>
          </w:p>
        </w:tc>
        <w:tc>
          <w:tcPr/>
          <w:p>
            <w:pPr>
              <w:pStyle w:val="Compact"/>
            </w:pPr>
            <w:r>
              <w:t xml:space="preserve">γ50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Comparable?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study (CFB-GBM)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3.32</w:t>
            </w:r>
          </w:p>
        </w:tc>
        <w:tc>
          <w:tcPr/>
          <w:p>
            <w:pPr>
              <w:pStyle w:val="Compact"/>
            </w:pPr>
            <w:r>
              <w:t xml:space="preserve">OS ≥ median (proxy)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Maitre et al. 2020 (review)</w:t>
            </w:r>
          </w:p>
        </w:tc>
        <w:tc>
          <w:tcPr/>
          <w:p>
            <w:pPr>
              <w:pStyle w:val="Compact"/>
            </w:pPr>
            <w:r>
              <w:t xml:space="preserve">40–80</w:t>
            </w:r>
          </w:p>
        </w:tc>
        <w:tc>
          <w:tcPr/>
          <w:p>
            <w:pPr>
              <w:pStyle w:val="Compact"/>
            </w:pPr>
            <w:r>
              <w:t xml:space="preserve">1–5</w:t>
            </w:r>
          </w:p>
        </w:tc>
        <w:tc>
          <w:tcPr/>
          <w:p>
            <w:pPr>
              <w:pStyle w:val="Compact"/>
            </w:pPr>
            <w:r>
              <w:t xml:space="preserve">LC / NTCP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Okunieff et al. 1995 (meta)</w:t>
            </w:r>
          </w:p>
        </w:tc>
        <w:tc>
          <w:tcPr/>
          <w:p>
            <w:pPr>
              <w:pStyle w:val="Compact"/>
            </w:pPr>
            <w:r>
              <w:t xml:space="preserve">~50–70</w:t>
            </w:r>
          </w:p>
        </w:tc>
        <w:tc>
          <w:tcPr/>
          <w:p>
            <w:pPr>
              <w:pStyle w:val="Compact"/>
            </w:pPr>
            <w:r>
              <w:t xml:space="preserve">~1–4</w:t>
            </w:r>
          </w:p>
        </w:tc>
        <w:tc>
          <w:tcPr/>
          <w:p>
            <w:pPr>
              <w:pStyle w:val="Compact"/>
            </w:pPr>
            <w:r>
              <w:t xml:space="preserve">Tumour control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Ohri et al. 2017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LC preferred</w:t>
            </w:r>
          </w:p>
        </w:tc>
        <w:tc>
          <w:tcPr/>
          <w:p>
            <w:pPr>
              <w:pStyle w:val="Compact"/>
            </w:pPr>
            <w:r>
              <w:t xml:space="preserve">design note</w:t>
            </w:r>
          </w:p>
        </w:tc>
      </w:tr>
    </w:tbl>
    <w:p>
      <w:pPr>
        <w:pStyle w:val="BodyText"/>
      </w:pPr>
      <w:r>
        <w:t xml:space="preserve">Our D50 falls in published ranges but is</w:t>
      </w:r>
      <w:r>
        <w:t xml:space="preserve"> </w:t>
      </w:r>
      <w:r>
        <w:rPr>
          <w:b/>
          <w:bCs/>
        </w:rPr>
        <w:t xml:space="preserve">not interpretable as GBM tumour-control D50</w:t>
      </w:r>
      <w:r>
        <w:t xml:space="preserve"> </w:t>
      </w:r>
      <w:r>
        <w:t xml:space="preserve">without local control endpoint and single-protocol dose spread.</w:t>
      </w:r>
    </w:p>
    <w:p>
      <w:r>
        <w:pict>
          <v:rect style="width:0;height:1.5pt" o:hralign="center" o:hrstd="t" o:hr="t"/>
        </w:pict>
      </w:r>
    </w:p>
    <w:bookmarkEnd w:id="53"/>
    <w:bookmarkStart w:id="54" w:name="discussion"/>
    <w:p>
      <w:pPr>
        <w:pStyle w:val="Heading2"/>
      </w:pPr>
      <w:r>
        <w:t xml:space="preserve">10. Discussion</w:t>
      </w:r>
    </w:p>
    <w:p>
      <w:pPr>
        <w:pStyle w:val="FirstParagraph"/>
      </w:pPr>
      <w:r>
        <w:rPr>
          <w:b/>
          <w:bCs/>
        </w:rPr>
        <w:t xml:space="preserve">Why pooled dose–TCP fails:</w:t>
      </w:r>
      <w:r>
        <w:t xml:space="preserve"> </w:t>
      </w:r>
      <w:r>
        <w:t xml:space="preserve">CFB-GBM reflects routine practice, not dose escalation. Within-arm GTV Dmean variation &lt;1 Gy. OS and early RANO capture different biology; fractionation is confounded with age and treatment intent [7,15].</w:t>
      </w:r>
    </w:p>
    <w:p>
      <w:pPr>
        <w:pStyle w:val="BodyText"/>
      </w:pPr>
      <w:r>
        <w:rPr>
          <w:b/>
          <w:bCs/>
        </w:rPr>
        <w:t xml:space="preserve">Where signal remains:</w:t>
      </w:r>
      <w:r>
        <w:t xml:space="preserve"> </w:t>
      </w:r>
      <w:r>
        <w:t xml:space="preserve">GTV volume and PyRadiomics predict RANO when scheme is adjusted (pooled LOOCV AUC≈0.64; 40 Gy LOOCV≈0.74; PyRadiomics nested CV≈0.74). This reframes the project from classical TCP to</w:t>
      </w:r>
      <w:r>
        <w:t xml:space="preserve"> </w:t>
      </w:r>
      <w:r>
        <w:rPr>
          <w:b/>
          <w:bCs/>
        </w:rPr>
        <w:t xml:space="preserve">tumour burden → imaging response</w:t>
      </w:r>
      <w:r>
        <w:t xml:space="preserve"> </w:t>
      </w:r>
      <w:r>
        <w:t xml:space="preserve">— clinically interpretable and aligned with Moreau et al. radiomics work on the same dataset [9,10].</w:t>
      </w:r>
    </w:p>
    <w:p>
      <w:pPr>
        <w:pStyle w:val="BodyText"/>
      </w:pPr>
      <w:r>
        <w:rPr>
          <w:b/>
          <w:bCs/>
        </w:rPr>
        <w:t xml:space="preserve">Limitations:</w:t>
      </w:r>
      <w:r>
        <w:t xml:space="preserve"> </w:t>
      </w:r>
      <w:r>
        <w:t xml:space="preserve">No formal local control; single institution; small 40 Gy RANO subset (n=34); t1 GTV NIfTI not validated locally.</w:t>
      </w:r>
    </w:p>
    <w:p>
      <w:pPr>
        <w:pStyle w:val="BodyText"/>
      </w:pPr>
      <w:r>
        <w:rPr>
          <w:b/>
          <w:bCs/>
        </w:rPr>
        <w:t xml:space="preserve">Feasibility checklist for future open TCP studies [7]:</w:t>
      </w:r>
      <w:r>
        <w:t xml:space="preserve"> </w:t>
      </w:r>
      <w:r>
        <w:t xml:space="preserve">report within-arm Dmean IQR; prefer LC or RANO over OS; adjust for fractionation; report LOOCV/nested CV; compare against author radiomics baselines.</w:t>
      </w:r>
    </w:p>
    <w:p>
      <w:r>
        <w:pict>
          <v:rect style="width:0;height:1.5pt" o:hralign="center" o:hrstd="t" o:hr="t"/>
        </w:pict>
      </w:r>
    </w:p>
    <w:bookmarkEnd w:id="54"/>
    <w:bookmarkStart w:id="55" w:name="conclusion"/>
    <w:p>
      <w:pPr>
        <w:pStyle w:val="Heading2"/>
      </w:pPr>
      <w:r>
        <w:t xml:space="preserve">11. Conclusion</w:t>
      </w:r>
    </w:p>
    <w:p>
      <w:pPr>
        <w:pStyle w:val="FirstParagraph"/>
      </w:pPr>
      <w:r>
        <w:t xml:space="preserve">We delivered an open, reproducible TCP modeling pipeline on CFB-GBM and demonstrated that</w:t>
      </w:r>
      <w:r>
        <w:t xml:space="preserve"> </w:t>
      </w:r>
      <w:r>
        <w:rPr>
          <w:b/>
          <w:bCs/>
        </w:rPr>
        <w:t xml:space="preserve">classical pooled TCP validation is not feasible</w:t>
      </w:r>
      <w:r>
        <w:t xml:space="preserve"> </w:t>
      </w:r>
      <w:r>
        <w:t xml:space="preserve">on this cohort. With confounding addressed,</w:t>
      </w:r>
      <w:r>
        <w:t xml:space="preserve"> </w:t>
      </w:r>
      <w:r>
        <w:rPr>
          <w:b/>
          <w:bCs/>
        </w:rPr>
        <w:t xml:space="preserve">GTV volume and PyRadiomics features predict early RANO</w:t>
      </w:r>
      <w:r>
        <w:t xml:space="preserve"> </w:t>
      </w:r>
      <w:r>
        <w:t xml:space="preserve">with moderate cross-validated discrimination. All code, figures, and auto-generated metrics regenerate via</w:t>
      </w:r>
      <w:r>
        <w:t xml:space="preserve"> </w:t>
      </w:r>
      <w:r>
        <w:rPr>
          <w:rStyle w:val="VerbatimChar"/>
        </w:rPr>
        <w:t xml:space="preserve">make report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5"/>
    <w:bookmarkStart w:id="5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Stupp R et al. Lancet Oncol. 2009. doi:10.1016/S1470-2045(09)70025-7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Minniti G et al. Expert Rev Anticancer Ther. 2021. doi:10.1080/14737140.2021.1919470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Malmström A et al. Lancet Oncol. 2012. doi:10.1016/S1470-2045(12)70265-6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Maitre A et al. Cancer Radiother. 2020. doi:10.1016/j.canrad.2019.08.002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Gardner LL et al. Phys Med Biol. 2024. doi:10.1088/1361-6560/ad70f0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Niemierko A. Med Phys. 1997. doi:10.1118/1.598061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Ohri N et al. Transl Cancer Res. 2017. doi:10.21037/tcr.2017.02.01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Moreau NN et al. TCIA. 2025. doi:10.7937/v9pn-2f72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Moreau NN et al. Front Oncol. 2025. doi:10.3389/fonc.2025.1497195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Moreau NN et al. PRIME 2025 LNCS. doi:10.1007/978-3-032-07904-6_3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Fowler JF. Br J Radiol. 2010. doi:10.1259/bjr/86359321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Wen PY et al. J Clin Oncol. 2010. doi:10.1200/JCO.2009.25.5874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van Dijk WT et al. Lancet Oncol. 2021. doi:10.1016/S1470-2045(21)00489-7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Cox DR. J R Stat Soc B. 1972. doi:10.1111/j.2517-6161.1972.tb00999.x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Perry JR et al. N Engl J Med. 2017. doi:10.1056/NEJMoa1611977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Embring A et al. Radiother Oncol. 2020. doi:10.1016/j.radonc.2019.11.014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Zwanenburg A et al. Radiother Oncol. 2020. doi:10.1016/j.radonc.2019.11.009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Efron B, Tibshirani RJ. An Introduction to the Bootstrap. Chapman &amp; Hall; 1994.</w:t>
      </w:r>
    </w:p>
    <w:p>
      <w:r>
        <w:pict>
          <v:rect style="width:0;height:1.5pt" o:hralign="center" o:hrstd="t" o:hr="t"/>
        </w:pict>
      </w:r>
    </w:p>
    <w:bookmarkEnd w:id="56"/>
    <w:bookmarkStart w:id="58" w:name="appendix-reproducibility"/>
    <w:p>
      <w:pPr>
        <w:pStyle w:val="Heading2"/>
      </w:pPr>
      <w:r>
        <w:t xml:space="preserve">Appendix — Reproducibility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report                              </w:t>
      </w:r>
      <w:r>
        <w:rPr>
          <w:rStyle w:val="CommentTok"/>
        </w:rPr>
        <w:t xml:space="preserve"># regenerate RESULTS.md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scripts/verify_literature_dois.py </w:t>
      </w:r>
      <w:r>
        <w:rPr>
          <w:rStyle w:val="CommentTok"/>
        </w:rPr>
        <w:t xml:space="preserve"># check reference links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scripts/run_notebooks_check.sh      </w:t>
      </w:r>
      <w:r>
        <w:rPr>
          <w:rStyle w:val="CommentTok"/>
        </w:rPr>
        <w:t xml:space="preserve"># execute notebooks 01, 03–06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scripts/export_assignment_report.sh </w:t>
      </w:r>
      <w:r>
        <w:rPr>
          <w:rStyle w:val="CommentTok"/>
        </w:rPr>
        <w:t xml:space="preserve"># this document → DOCX/PDF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scripts/export_manuscript.sh        </w:t>
      </w:r>
      <w:r>
        <w:rPr>
          <w:rStyle w:val="CommentTok"/>
        </w:rPr>
        <w:t xml:space="preserve"># scientific manuscript export</w:t>
      </w:r>
    </w:p>
    <w:p>
      <w:pPr>
        <w:pStyle w:val="FirstParagraph"/>
      </w:pPr>
      <w:r>
        <w:t xml:space="preserve">Group glossary (plain language):</w:t>
      </w:r>
      <w:r>
        <w:t xml:space="preserve"> </w:t>
      </w:r>
      <w:hyperlink r:id="rId57">
        <w:r>
          <w:rPr>
            <w:rStyle w:val="VerbatimChar"/>
          </w:rPr>
          <w:t xml:space="preserve">group_glossary_guide.md</w:t>
        </w:r>
      </w:hyperlink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8" Target="media/rId18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7" Target="media/rId47.png" /><Relationship Type="http://schemas.openxmlformats.org/officeDocument/2006/relationships/image" Id="rId44" Target="media/rId44.png" /><Relationship Type="http://schemas.openxmlformats.org/officeDocument/2006/relationships/hyperlink" Id="rId10" Target="RESULTS.md" TargetMode="External" /><Relationship Type="http://schemas.openxmlformats.org/officeDocument/2006/relationships/hyperlink" Id="rId57" Target="group_glossary_guide.md" TargetMode="External" /><Relationship Type="http://schemas.openxmlformats.org/officeDocument/2006/relationships/hyperlink" Id="rId9" Target="https://doi.org/10.7937/v9pn-2f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RESULTS.md" TargetMode="External" /><Relationship Type="http://schemas.openxmlformats.org/officeDocument/2006/relationships/hyperlink" Id="rId57" Target="group_glossary_guide.md" TargetMode="External" /><Relationship Type="http://schemas.openxmlformats.org/officeDocument/2006/relationships/hyperlink" Id="rId9" Target="https://doi.org/10.7937/v9pn-2f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Project Report: TCP Modeling in Glioblastoma (CFB-GBM)</dc:title>
  <dc:creator>TCP Modeling GBM Project Group</dc:creator>
  <cp:keywords/>
  <dcterms:created xsi:type="dcterms:W3CDTF">2026-06-28T17:32:20Z</dcterms:created>
  <dcterms:modified xsi:type="dcterms:W3CDTF">2026-06-28T17:32:20Z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