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t>МИНИСТЕРСТВО НАУКИ И ВЫСШЕГО ОБРАЗОВАНИЯ РОССИЙСКОЙ ФЕДЕРАЦИИ</w:t>
      </w:r>
    </w:p>
    <w:p>
      <w:pPr>
        <w:ind w:firstLine="0"/>
        <w:jc w:val="center"/>
      </w:pPr>
      <w:r>
        <w:t>____________________________________________</w:t>
      </w:r>
    </w:p>
    <w:p>
      <w:pPr>
        <w:ind w:firstLine="0"/>
        <w:jc w:val="center"/>
      </w:pPr>
      <w:r>
        <w:t>Кафедра ___________________________________</w:t>
      </w:r>
    </w:p>
    <w:p/>
    <w:p/>
    <w:p/>
    <w:p/>
    <w:p/>
    <w:p/>
    <w:p>
      <w:pPr>
        <w:ind w:firstLine="0"/>
        <w:jc w:val="center"/>
      </w:pPr>
      <w:r>
        <w:t>ОТЧЁТ</w:t>
      </w:r>
    </w:p>
    <w:p>
      <w:pPr>
        <w:ind w:firstLine="0"/>
        <w:jc w:val="center"/>
      </w:pPr>
      <w:r>
        <w:t>по лабораторной работе № 2</w:t>
      </w:r>
    </w:p>
    <w:p>
      <w:pPr>
        <w:ind w:firstLine="0"/>
        <w:jc w:val="center"/>
      </w:pPr>
      <w:r>
        <w:t>«Формирование технических требований к системе»</w:t>
      </w:r>
    </w:p>
    <w:p>
      <w:pPr>
        <w:ind w:firstLine="0"/>
        <w:jc w:val="center"/>
      </w:pPr>
      <w:r>
        <w:t>по дисциплине «____________________________»</w:t>
      </w:r>
    </w:p>
    <w:p/>
    <w:p/>
    <w:p/>
    <w:p/>
    <w:p/>
    <w:p>
      <w:r>
        <w:t>Выполнил: студент группы __________ Гридин Д. Д.</w:t>
      </w:r>
    </w:p>
    <w:p>
      <w:r>
        <w:t>Проверил: Шайда-Ксантиниди __________________</w:t>
      </w:r>
    </w:p>
    <w:p/>
    <w:p/>
    <w:p/>
    <w:p/>
    <w:p>
      <w:pPr>
        <w:ind w:firstLine="0"/>
        <w:jc w:val="center"/>
      </w:pPr>
      <w:r>
        <w:t>Новочеркасск — 2026</w:t>
      </w:r>
    </w:p>
    <w:p>
      <w:r>
        <w:br w:type="page"/>
      </w:r>
    </w:p>
    <w:p>
      <w:pPr>
        <w:pStyle w:val="Heading1"/>
      </w:pPr>
      <w:r>
        <w:t>1 Цель работы</w:t>
      </w:r>
    </w:p>
    <w:p>
      <w:r>
        <w:t>Сформулировать назначение, функции, состав входных и выходных данных разрабатываемой системы; определить предварительные технические требования, общую архитектуру и декомпозицию на функциональные модули.</w:t>
      </w:r>
    </w:p>
    <w:p>
      <w:pPr>
        <w:pStyle w:val="Heading1"/>
      </w:pPr>
      <w:r>
        <w:t>2 Назначение и область применения системы</w:t>
      </w:r>
    </w:p>
    <w:p>
      <w:r>
        <w:t>Объектом проектирования является подсистема SpaceTrainerMonitor, предназначенная для автоматизированного получения, обработки, отображения и хранения сведений о техническом состоянии компонентов космического тренажёра. Предусматривается выявление отклонений контролируемых параметров от установленных границ и регистрация диагностических событий. Для автономной проверки проектируется программный имитатор оборудования. Перечень реальных компонентов и параметры обмена подлежат согласованию с организацией-заказчиком.</w:t>
      </w:r>
    </w:p>
    <w:p>
      <w:pPr>
        <w:pStyle w:val="Heading1"/>
      </w:pPr>
      <w:r>
        <w:t>3 Функциональные требования</w:t>
      </w:r>
    </w:p>
    <w:p>
      <w:r>
        <w:t>Функциональные требования систематизированы с присвоением идентификаторов для последующей проверки реализации.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Код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Требование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FR-01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Получение технических параметров по TCP/IP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FR-02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Идентификация компонентов по уникальному идентификатору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FR-03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Отображение текущих значений параметров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FR-04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Сравнение показателей с допустимыми границами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FR-05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Формирование диагностических событий при отклонениях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FR-06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Регистрация событий изменения состояния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FR-07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Хранение показателей и событий в PostgreSQL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FR-08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Просмотр истории измерений и событий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FR-09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Поиск и фильтрация событий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FR-10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Визуальное уведомление оператора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FR-11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Отображение состояния сетевого подключения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FR-12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Приём тестовых данных от имитатора</w:t>
            </w:r>
          </w:p>
        </w:tc>
      </w:tr>
    </w:tbl>
    <w:p>
      <w:pPr>
        <w:pStyle w:val="Heading1"/>
      </w:pPr>
      <w:r>
        <w:t>4 Нефункциональные требования</w:t>
      </w:r>
    </w:p>
    <w:p>
      <w:r>
        <w:t>Предварительные количественные значения установлены для учебного прототипа и требуют уточнения при согласовании условий эксплуатации.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Группа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Содержание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Производительность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Обработка сообщения не более 200 мс при штатной нагрузке; обновление интерфейса не реже одного раза в секунду при поступлении данных; не менее 20 компонентов.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Надёжность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Регистрация ошибок без аварийного завершения; индикация потери связи и возможность повторного подключения; сохранение зарегистрированных событий.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Совместимость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C++17, Qt 6, PostgreSQL, CMake, TCP/IP; разработка на Windows с возможностью последующей сборки под Astra Linux.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Безопасность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Проверка входных сообщений; устойчивость к некорректным данным; хранение параметров подключения к БД вне исходного кода.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Интерфейс и сопровождение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Наглядная индикация состояния и неисправностей; доступ к истории из главного окна; модульная структура и контроль версий Git.</w:t>
            </w:r>
          </w:p>
        </w:tc>
      </w:tr>
    </w:tbl>
    <w:p>
      <w:pPr>
        <w:pStyle w:val="Heading1"/>
      </w:pPr>
      <w:r>
        <w:t>5 Требования к информационному обеспечению</w:t>
      </w:r>
    </w:p>
    <w:p>
      <w:r>
        <w:t>Входное сообщение содержит идентификатор компонента, идентификатор параметра, время измерения, значение и код состояния. В качестве предварительного формата полезной нагрузки принят JSON. При реализации TCP-соединения необходимо определить способ выделения сообщений в потоке байтов.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Поле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Тип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Назначение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component_id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INTEGER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Идентификатор компонента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parameter_id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INTEGER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Идентификатор параметра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timestamp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DATETIME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Время измерения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value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DOUBLE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Числовое значение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status_code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INTEGER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Код состояния</w:t>
            </w:r>
          </w:p>
        </w:tc>
      </w:tr>
    </w:tbl>
    <w:p>
      <w:r>
        <w:t>Основными информационными сущностями определены Component, Parameter, Measurement, DiagnosticEvent и ConnectionStatus. Выходные данные включают текущие значения, состояние компонентов, результаты диагностики, уведомления, историю измерений и сведения о сетевом соединении.</w:t>
      </w:r>
    </w:p>
    <w:p>
      <w:pPr>
        <w:pStyle w:val="Heading1"/>
      </w:pPr>
      <w:r>
        <w:t>6 Архитектура и декомпозиция</w:t>
      </w:r>
    </w:p>
    <w:p>
      <w:r>
        <w:t>В проекте принята модульная организация программного обеспечения. Имитатор оборудования формирует тестовые сообщения, сетевой модуль принимает и проверяет данные, модуль мониторинга обновляет показатели, модуль диагностики выявляет отклонения, модуль управления данными обеспечивает взаимодействие с PostgreSQL, графический интерфейс отображает результаты оператору.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Обозначение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Модуль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Назначение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M01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EquipmentSimulator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Формирование тестовых показателей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M02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NetworkManager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Сетевое взаимодействие и проверка сообщений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M03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MonitoringManager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Обработка текущих измерений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M04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DiagnosticsManager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Определение отклонений и неисправностей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M05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DatabaseManager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Сохранение и получение данных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M06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MainWindow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Отображение сведений и взаимодействие с оператором</w:t>
            </w:r>
          </w:p>
        </w:tc>
      </w:tr>
    </w:tbl>
    <w:p>
      <w:r>
        <w:t>Структурная схема информационного взаимодействия представлена на рисунке 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</w:tcPr>
          <w:p>
            <w:pPr>
              <w:spacing w:line="240" w:lineRule="auto"/>
              <w:ind w:firstLine="0"/>
              <w:jc w:val="center"/>
            </w:pPr>
            <w:r>
              <w:t>Имитатор оборудования (M01)</w:t>
            </w:r>
          </w:p>
        </w:tc>
      </w:tr>
      <w:tr>
        <w:tc>
          <w:tcPr>
            <w:tcW w:type="dxa" w:w="9689"/>
          </w:tcPr>
          <w:p>
            <w:pPr>
              <w:spacing w:line="240" w:lineRule="auto"/>
              <w:ind w:firstLine="0"/>
              <w:jc w:val="center"/>
            </w:pPr>
            <w:r>
              <w:t>↓ TCP/IP</w:t>
            </w:r>
          </w:p>
        </w:tc>
      </w:tr>
      <w:tr>
        <w:tc>
          <w:tcPr>
            <w:tcW w:type="dxa" w:w="9689"/>
          </w:tcPr>
          <w:p>
            <w:pPr>
              <w:spacing w:line="240" w:lineRule="auto"/>
              <w:ind w:firstLine="0"/>
              <w:jc w:val="center"/>
            </w:pPr>
            <w:r>
              <w:t>Сетевой модуль (M02) и проверка сообщений</w:t>
            </w:r>
          </w:p>
        </w:tc>
      </w:tr>
      <w:tr>
        <w:tc>
          <w:tcPr>
            <w:tcW w:type="dxa" w:w="9689"/>
          </w:tcPr>
          <w:p>
            <w:pPr>
              <w:spacing w:line="240" w:lineRule="auto"/>
              <w:ind w:firstLine="0"/>
              <w:jc w:val="center"/>
            </w:pPr>
            <w:r>
              <w:t>↓</w:t>
            </w:r>
          </w:p>
        </w:tc>
      </w:tr>
      <w:tr>
        <w:tc>
          <w:tcPr>
            <w:tcW w:type="dxa" w:w="9689"/>
          </w:tcPr>
          <w:p>
            <w:pPr>
              <w:spacing w:line="240" w:lineRule="auto"/>
              <w:ind w:firstLine="0"/>
              <w:jc w:val="center"/>
            </w:pPr>
            <w:r>
              <w:t>Мониторинг (M03) → Диагностика (M04)</w:t>
            </w:r>
          </w:p>
        </w:tc>
      </w:tr>
      <w:tr>
        <w:tc>
          <w:tcPr>
            <w:tcW w:type="dxa" w:w="9689"/>
          </w:tcPr>
          <w:p>
            <w:pPr>
              <w:spacing w:line="240" w:lineRule="auto"/>
              <w:ind w:firstLine="0"/>
              <w:jc w:val="center"/>
            </w:pPr>
            <w:r>
              <w:t>↓                         ↓</w:t>
            </w:r>
          </w:p>
        </w:tc>
      </w:tr>
      <w:tr>
        <w:tc>
          <w:tcPr>
            <w:tcW w:type="dxa" w:w="9689"/>
          </w:tcPr>
          <w:p>
            <w:pPr>
              <w:spacing w:line="240" w:lineRule="auto"/>
              <w:ind w:firstLine="0"/>
              <w:jc w:val="center"/>
            </w:pPr>
            <w:r>
              <w:t>Управление данными (M05) ↔ PostgreSQL</w:t>
            </w:r>
          </w:p>
        </w:tc>
      </w:tr>
      <w:tr>
        <w:tc>
          <w:tcPr>
            <w:tcW w:type="dxa" w:w="9689"/>
          </w:tcPr>
          <w:p>
            <w:pPr>
              <w:spacing w:line="240" w:lineRule="auto"/>
              <w:ind w:firstLine="0"/>
              <w:jc w:val="center"/>
            </w:pPr>
            <w:r>
              <w:t>↓</w:t>
            </w:r>
          </w:p>
        </w:tc>
      </w:tr>
      <w:tr>
        <w:tc>
          <w:tcPr>
            <w:tcW w:type="dxa" w:w="9689"/>
          </w:tcPr>
          <w:p>
            <w:pPr>
              <w:spacing w:line="240" w:lineRule="auto"/>
              <w:ind w:firstLine="0"/>
              <w:jc w:val="center"/>
            </w:pPr>
            <w:r>
              <w:t>Интерфейс оператора (M06)</w:t>
            </w:r>
          </w:p>
        </w:tc>
      </w:tr>
    </w:tbl>
    <w:p>
      <w:pPr>
        <w:ind w:firstLine="0"/>
        <w:jc w:val="center"/>
      </w:pPr>
      <w:r>
        <w:t>Рисунок 1 — Укрупнённая структурная схема подсистемы</w:t>
      </w:r>
    </w:p>
    <w:p>
      <w:pPr>
        <w:pStyle w:val="Heading1"/>
      </w:pPr>
      <w:r>
        <w:t>7 Матрица соответствия требований и модулей</w:t>
      </w:r>
    </w:p>
    <w:p>
      <w:pPr>
        <w:ind w:firstLine="709"/>
      </w:pPr>
      <w:r>
        <w:t>Для обеспечения прослеживаемости требований определены программные модули, ответственные за реализацию каждой функции. Матрица соответствия приведена в таблице 5.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323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Код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Требование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Ответственный модуль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FR-01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Получение данных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NetworkManager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FR-02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Идентификация компонентов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MonitoringManager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FR-03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Мониторинг состояния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MonitoringManager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FR-04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Контроль допустимых значений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DiagnosticsManager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FR-05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Диагностика неисправностей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DiagnosticsManager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FR-06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Регистрация событий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DiagnosticsManager, DatabaseManager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FR-07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Хранение данных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DatabaseManager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FR-08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Просмотр истории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DatabaseManager, MainWindow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FR-09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Поиск и фильтрация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DatabaseManager, MainWindow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FR-10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Уведомление оператора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MainWindow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FR-11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Состояние подключения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NetworkManager, MainWindow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FR-12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Работа с имитатором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EquipmentSimulator, NetworkManager</w:t>
            </w:r>
          </w:p>
        </w:tc>
      </w:tr>
    </w:tbl>
    <w:p>
      <w:pPr>
        <w:pStyle w:val="Heading1"/>
      </w:pPr>
      <w:r>
        <w:t>8 Результаты выполнения работы</w:t>
      </w:r>
    </w:p>
    <w:p>
      <w:r>
        <w:t>Подготовлены паспорт системы, функциональные и нефункциональные требования, описание входных и выходных данных, архитектуры, декомпозиции, структурная схема и матрица соответствия требований программным модулям. Определены предварительные технические решения для последующей реализации и проверки системы.</w:t>
      </w:r>
    </w:p>
    <w:p>
      <w:pPr>
        <w:pStyle w:val="Heading1"/>
      </w:pPr>
      <w:r>
        <w:t>9 Вывод</w:t>
      </w:r>
    </w:p>
    <w:p>
      <w:r>
        <w:t>В ходе лабораторной работы сформированы предварительные технические требования к подсистеме мониторинга и диагностики компонентов космического тренажёра. Выполнена декомпозиция системы, определены информационные сущности и обеспечена прослеживаемость функциональных требований до программных модулей. Полученные результаты служат основой для проектирования базы данных, реализации и тестирования подсистемы. Технические показатели и условия эксплуатации подлежат уточнению при согласовании с заказчиком.</w:t>
      </w:r>
    </w:p>
    <w:p>
      <w:pPr>
        <w:pStyle w:val="Heading1"/>
      </w:pPr>
      <w:r>
        <w:t>Список использованных источников</w:t>
      </w:r>
    </w:p>
    <w:p>
      <w:r>
        <w:t>1. Документация Qt 6. URL: https://doc.qt.io/qt-6/ (дата обращения: 15.10.2026).</w:t>
      </w:r>
    </w:p>
    <w:p>
      <w:r>
        <w:t>2. Документация PostgreSQL. URL: https://www.postgresql.org/docs/ (дата обращения: 15.10.2026).</w:t>
      </w:r>
    </w:p>
    <w:p>
      <w:r>
        <w:t>3. Документация Git. URL: https://git-scm.com/docs (дата обращения: 15.10.2026).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