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ED2A9C1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11F16BF9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17C5126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5805F56E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437B00A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11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6F0A1D2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7F9370F9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40CF0D24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27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47A8F9CF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0CC808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2393002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004EC6F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29DCCD9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311F51D1" w14:textId="4C14E77B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 xml:space="preserve">SYMBOL_DROPDOWN   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B69E8">
        <w:rPr>
          <w:rFonts w:ascii="Courier New" w:hAnsi="Courier New" w:cs="Courier New"/>
          <w:sz w:val="16"/>
          <w:szCs w:val="16"/>
          <w:lang w:val="en-US"/>
        </w:rPr>
        <w:t>= '▼'     </w:t>
      </w:r>
    </w:p>
    <w:p w14:paraId="072F3E7A" w14:textId="42EDC4BA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SYMBOL_LONGDASH     = '—';     </w:t>
      </w:r>
    </w:p>
    <w:p w14:paraId="47A38797" w14:textId="2D548AD7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SYMBOL_MIDDASH      = '–';</w:t>
      </w:r>
    </w:p>
    <w:p w14:paraId="7309E651" w14:textId="4AB67242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SYMBOL_QUOTELEFT    = '«';  </w:t>
      </w:r>
    </w:p>
    <w:p w14:paraId="3AA43699" w14:textId="1E15245A" w:rsidR="007B69E8" w:rsidRPr="007B69E8" w:rsidRDefault="007B69E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SYMBOL_QUOTERIGHT   = '»';</w:t>
      </w:r>
    </w:p>
    <w:p w14:paraId="018F81B2" w14:textId="4C357A5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1001A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1001A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lastRenderedPageBreak/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78901460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2pt;height:69pt" o:ole="">
                  <v:imagedata r:id="rId8" o:title=""/>
                </v:shape>
                <o:OLEObject Type="Embed" ProgID="PBrush" ShapeID="_x0000_i1026" DrawAspect="Content" ObjectID="_178901460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1001A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1001A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1001A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1001A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1001A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1001A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B04298" w:rsidRPr="00310EEC" w14:paraId="288BB1E4" w14:textId="77777777" w:rsidTr="00B814F6">
        <w:tc>
          <w:tcPr>
            <w:tcW w:w="6487" w:type="dxa"/>
          </w:tcPr>
          <w:p w14:paraId="12343DD0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DateIndexInPeriod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ADate1, ADate2: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9342110" w14:textId="777777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Boolean;</w:t>
            </w:r>
          </w:p>
          <w:p w14:paraId="085F7D2A" w14:textId="5FE54E1C" w:rsidR="00B04298" w:rsidRPr="00310EEC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953" w:type="dxa"/>
          </w:tcPr>
          <w:p w14:paraId="667BC1ED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4CB7E3C" w14:textId="77777777" w:rsidR="00B04298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B6952A" w14:textId="77777777" w:rsidR="00B04298" w:rsidRPr="0071700F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0857680" w14:textId="77777777" w:rsidR="00B04298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0AFEEEF8" w14:textId="77777777" w:rsidR="00B04298" w:rsidRPr="0077069A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  <w:p w14:paraId="57A6A0CE" w14:textId="5D3A6762" w:rsidR="00B04298" w:rsidRPr="0071700F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2516616" w14:textId="617816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индекс даты в периоде</w:t>
            </w:r>
          </w:p>
        </w:tc>
        <w:tc>
          <w:tcPr>
            <w:tcW w:w="4729" w:type="dxa"/>
          </w:tcPr>
          <w:p w14:paraId="17C62BD1" w14:textId="77777777" w:rsidR="00B04298" w:rsidRPr="00B04298" w:rsidRDefault="00B04298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1001A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81001A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1001A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</w:t>
            </w:r>
            <w:r w:rsidRPr="00C07382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81001A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– проверка по всему </w:t>
            </w:r>
            <w:r>
              <w:rPr>
                <w:rFonts w:cstheme="minorHAnsi"/>
                <w:sz w:val="16"/>
                <w:szCs w:val="16"/>
              </w:rPr>
              <w:lastRenderedPageBreak/>
              <w:t>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ASortIndexes: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условного бесконечного вектора , составленного из циклически повторяющихся значений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81001A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001A" w:rsidRPr="0081001A" w14:paraId="3632AE7A" w14:textId="77777777" w:rsidTr="00000A5A">
        <w:tc>
          <w:tcPr>
            <w:tcW w:w="6487" w:type="dxa"/>
          </w:tcPr>
          <w:p w14:paraId="3E58201A" w14:textId="121D15D2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55D44A87" w14:textId="1BC08DFD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 w:rsidRPr="0081001A">
              <w:rPr>
                <w:rFonts w:cstheme="minorHAnsi"/>
                <w:sz w:val="16"/>
                <w:szCs w:val="16"/>
              </w:rPr>
              <w:t>Проверка символа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81001A">
              <w:rPr>
                <w:rFonts w:cstheme="minorHAnsi"/>
                <w:sz w:val="16"/>
                <w:szCs w:val="16"/>
              </w:rPr>
              <w:t>, является ли он цифрой</w:t>
            </w:r>
          </w:p>
        </w:tc>
        <w:tc>
          <w:tcPr>
            <w:tcW w:w="4729" w:type="dxa"/>
          </w:tcPr>
          <w:p w14:paraId="72CE8ED4" w14:textId="0824B958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//True</w:t>
            </w:r>
          </w:p>
          <w:p w14:paraId="1875F68D" w14:textId="7CEC6993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4C3C0904" w14:textId="17A2F3F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//False</w:t>
            </w:r>
          </w:p>
        </w:tc>
      </w:tr>
      <w:tr w:rsidR="0081001A" w:rsidRPr="0081001A" w14:paraId="13AE8379" w14:textId="77777777" w:rsidTr="00000A5A">
        <w:tc>
          <w:tcPr>
            <w:tcW w:w="6487" w:type="dxa"/>
          </w:tcPr>
          <w:p w14:paraId="7AA3A28B" w14:textId="4566FD56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SDigits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9FAF38" w14:textId="1ED123F3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все цифры из строки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</w:p>
        </w:tc>
        <w:tc>
          <w:tcPr>
            <w:tcW w:w="4729" w:type="dxa"/>
          </w:tcPr>
          <w:p w14:paraId="01CF5077" w14:textId="225A713E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1.22-33 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311F9F1" w14:textId="2B3D097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11223344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1001A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81001A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7069A" w:rsidRPr="0077069A" w14:paraId="3E4A676C" w14:textId="77777777" w:rsidTr="00000A5A">
        <w:tc>
          <w:tcPr>
            <w:tcW w:w="6487" w:type="dxa"/>
          </w:tcPr>
          <w:p w14:paraId="6C6C5A10" w14:textId="039241C7" w:rsidR="0077069A" w:rsidRPr="0077069A" w:rsidRDefault="0077069A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SRusQuoted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3C80EA7" w14:textId="629D26A3" w:rsidR="0077069A" w:rsidRPr="0077069A" w:rsidRDefault="0077069A" w:rsidP="0084145C">
            <w:pPr>
              <w:rPr>
                <w:rFonts w:cstheme="minorHAnsi"/>
                <w:sz w:val="16"/>
                <w:szCs w:val="16"/>
              </w:rPr>
            </w:pPr>
            <w:r w:rsidRPr="0077069A">
              <w:rPr>
                <w:rFonts w:cstheme="minorHAnsi"/>
                <w:sz w:val="16"/>
                <w:szCs w:val="16"/>
              </w:rPr>
              <w:t>Вставляет в начало и конец строки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7069A">
              <w:rPr>
                <w:rFonts w:cstheme="minorHAnsi"/>
                <w:sz w:val="16"/>
                <w:szCs w:val="16"/>
              </w:rPr>
              <w:t xml:space="preserve"> русские кавычки</w:t>
            </w:r>
          </w:p>
        </w:tc>
        <w:tc>
          <w:tcPr>
            <w:tcW w:w="4729" w:type="dxa"/>
          </w:tcPr>
          <w:p w14:paraId="24E31569" w14:textId="4A5BD0E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6B917BD" w14:textId="7777777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6D370" w14:textId="1C5972C9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</w:rPr>
              <w:t>// ‘«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»’</w:t>
            </w:r>
          </w:p>
        </w:tc>
      </w:tr>
      <w:tr w:rsidR="00631B37" w:rsidRPr="0081001A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SDate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SFit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брезанную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с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6609CFD" w14:textId="58B3F25A" w:rsidR="00FE4407" w:rsidRPr="00B04298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B04298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B04298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B04298">
        <w:rPr>
          <w:rFonts w:cstheme="minorHAnsi"/>
          <w:sz w:val="20"/>
          <w:szCs w:val="20"/>
        </w:rPr>
        <w:t>:</w:t>
      </w:r>
      <w:r w:rsidRPr="00B04298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1001A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1001A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1001A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1001A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81001A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81001A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81001A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81001A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1001A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81001A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1001A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81001A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BEC70" w14:textId="77777777" w:rsidR="00D01234" w:rsidRDefault="00D01234" w:rsidP="00D82214">
      <w:pPr>
        <w:spacing w:after="0" w:line="240" w:lineRule="auto"/>
      </w:pPr>
      <w:r>
        <w:separator/>
      </w:r>
    </w:p>
  </w:endnote>
  <w:endnote w:type="continuationSeparator" w:id="0">
    <w:p w14:paraId="12E75C29" w14:textId="77777777" w:rsidR="00D01234" w:rsidRDefault="00D01234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059">
          <w:rPr>
            <w:noProof/>
          </w:rPr>
          <w:t>30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87C21" w14:textId="77777777" w:rsidR="00D01234" w:rsidRDefault="00D01234" w:rsidP="00D82214">
      <w:pPr>
        <w:spacing w:after="0" w:line="240" w:lineRule="auto"/>
      </w:pPr>
      <w:r>
        <w:separator/>
      </w:r>
    </w:p>
  </w:footnote>
  <w:footnote w:type="continuationSeparator" w:id="0">
    <w:p w14:paraId="78CE49FF" w14:textId="77777777" w:rsidR="00D01234" w:rsidRDefault="00D01234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3467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213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069A"/>
    <w:rsid w:val="00772D69"/>
    <w:rsid w:val="00795C36"/>
    <w:rsid w:val="007B3C36"/>
    <w:rsid w:val="007B6912"/>
    <w:rsid w:val="007B69E8"/>
    <w:rsid w:val="007C0C9E"/>
    <w:rsid w:val="007D527D"/>
    <w:rsid w:val="007E29C8"/>
    <w:rsid w:val="007F534C"/>
    <w:rsid w:val="008051D8"/>
    <w:rsid w:val="00805633"/>
    <w:rsid w:val="0081001A"/>
    <w:rsid w:val="00811289"/>
    <w:rsid w:val="00811F60"/>
    <w:rsid w:val="00816533"/>
    <w:rsid w:val="00826C60"/>
    <w:rsid w:val="00834725"/>
    <w:rsid w:val="0084145C"/>
    <w:rsid w:val="00850B20"/>
    <w:rsid w:val="008548F9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04298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234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A7962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0AB6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30C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858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0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1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93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731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5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8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1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36</Pages>
  <Words>14008</Words>
  <Characters>79848</Characters>
  <Application>Microsoft Office Word</Application>
  <DocSecurity>0</DocSecurity>
  <Lines>665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323</cp:revision>
  <dcterms:created xsi:type="dcterms:W3CDTF">2021-05-02T06:20:00Z</dcterms:created>
  <dcterms:modified xsi:type="dcterms:W3CDTF">2024-09-28T04:44:00Z</dcterms:modified>
</cp:coreProperties>
</file>