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75pt;height:70.9pt" o:ole="">
                  <v:imagedata r:id="rId6" o:title=""/>
                </v:shape>
                <o:OLEObject Type="Embed" ProgID="PBrush" ShapeID="_x0000_i1025" DrawAspect="Content" ObjectID="_1737818364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8pt;height:70.9pt" o:ole="">
                  <v:imagedata r:id="rId8" o:title=""/>
                </v:shape>
                <o:OLEObject Type="Embed" ProgID="PBrush" ShapeID="_x0000_i1026" DrawAspect="Content" ObjectID="_1737818365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55589B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55589B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55589B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55589B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55589B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55589B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55589B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55589B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</w:t>
            </w:r>
            <w:r w:rsidR="006E6058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55589B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55589B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EB76141" w14:textId="23040A83" w:rsidR="00AC34F0" w:rsidRPr="00AC34F0" w:rsidRDefault="00AC34F0" w:rsidP="00AC34F0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55589B" w:rsidRDefault="00086579" w:rsidP="00086579">
            <w:pPr>
              <w:rPr>
                <w:sz w:val="16"/>
                <w:szCs w:val="16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55589B">
              <w:rPr>
                <w:sz w:val="16"/>
                <w:szCs w:val="16"/>
              </w:rPr>
              <w:t xml:space="preserve">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</w:rPr>
              <w:t>1&lt;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  <w:p w14:paraId="25D0EC33" w14:textId="11210A55" w:rsidR="00086579" w:rsidRPr="0055589B" w:rsidRDefault="00086579" w:rsidP="00086579">
            <w:pPr>
              <w:rPr>
                <w:sz w:val="16"/>
                <w:szCs w:val="16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55589B">
              <w:rPr>
                <w:sz w:val="16"/>
                <w:szCs w:val="16"/>
              </w:rPr>
              <w:t xml:space="preserve">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</w:rPr>
              <w:t>1=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55589B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631B37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полученну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</w:t>
            </w:r>
          </w:p>
        </w:tc>
        <w:tc>
          <w:tcPr>
            <w:tcW w:w="4729" w:type="dxa"/>
          </w:tcPr>
          <w:p w14:paraId="4D3C5499" w14:textId="77777777" w:rsidR="00631B37" w:rsidRDefault="00631B37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3894312" w14:textId="77777777" w:rsidR="00631B37" w:rsidRDefault="00631B37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A86F81" w14:textId="0B64569E" w:rsidR="00631B37" w:rsidRPr="00631B37" w:rsidRDefault="00631B37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31B37" w:rsidRDefault="00D936F4" w:rsidP="00D936F4">
      <w:pPr>
        <w:spacing w:after="0"/>
      </w:pPr>
    </w:p>
    <w:p w14:paraId="0A653AC5" w14:textId="77777777" w:rsidR="000B3DB6" w:rsidRPr="00631B37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631B37"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55589B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55589B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55589B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55589B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55589B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55589B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55589B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55589B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55589B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55589B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55589B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55589B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Percent(const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FCF7" w14:textId="77777777" w:rsidR="00625C56" w:rsidRDefault="00625C56" w:rsidP="00D82214">
      <w:pPr>
        <w:spacing w:after="0" w:line="240" w:lineRule="auto"/>
      </w:pPr>
      <w:r>
        <w:separator/>
      </w:r>
    </w:p>
  </w:endnote>
  <w:endnote w:type="continuationSeparator" w:id="0">
    <w:p w14:paraId="625BD384" w14:textId="77777777" w:rsidR="00625C56" w:rsidRDefault="00625C56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AD43" w14:textId="77777777" w:rsidR="00625C56" w:rsidRDefault="00625C56" w:rsidP="00D82214">
      <w:pPr>
        <w:spacing w:after="0" w:line="240" w:lineRule="auto"/>
      </w:pPr>
      <w:r>
        <w:separator/>
      </w:r>
    </w:p>
  </w:footnote>
  <w:footnote w:type="continuationSeparator" w:id="0">
    <w:p w14:paraId="065D072A" w14:textId="77777777" w:rsidR="00625C56" w:rsidRDefault="00625C56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C1085"/>
    <w:rsid w:val="001D2A0F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8391B"/>
    <w:rsid w:val="00491FF9"/>
    <w:rsid w:val="004943EB"/>
    <w:rsid w:val="004A0B2C"/>
    <w:rsid w:val="004A2D6C"/>
    <w:rsid w:val="004B150A"/>
    <w:rsid w:val="004C6523"/>
    <w:rsid w:val="004D3371"/>
    <w:rsid w:val="004D365C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A0480"/>
    <w:rsid w:val="006A07B5"/>
    <w:rsid w:val="006A0915"/>
    <w:rsid w:val="006A6481"/>
    <w:rsid w:val="006A6A62"/>
    <w:rsid w:val="006B5547"/>
    <w:rsid w:val="006C28D2"/>
    <w:rsid w:val="006C2FE5"/>
    <w:rsid w:val="006D0EDA"/>
    <w:rsid w:val="006E1BC0"/>
    <w:rsid w:val="006E5DE1"/>
    <w:rsid w:val="006E6058"/>
    <w:rsid w:val="006F5548"/>
    <w:rsid w:val="006F5BB7"/>
    <w:rsid w:val="006F7C38"/>
    <w:rsid w:val="0070269C"/>
    <w:rsid w:val="00713D80"/>
    <w:rsid w:val="0071700F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34</Pages>
  <Words>12901</Words>
  <Characters>73542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291</cp:revision>
  <dcterms:created xsi:type="dcterms:W3CDTF">2021-05-02T06:20:00Z</dcterms:created>
  <dcterms:modified xsi:type="dcterms:W3CDTF">2023-02-13T15:33:00Z</dcterms:modified>
</cp:coreProperties>
</file>