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</w:t>
      </w:r>
      <w:proofErr w:type="gramStart"/>
      <w:r w:rsidRPr="00A133FF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A133FF">
        <w:rPr>
          <w:rFonts w:ascii="Courier New" w:hAnsi="Courier New" w:cs="Courier New"/>
          <w:sz w:val="16"/>
          <w:szCs w:val="16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!?,.;: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75pt;height:70.6pt" o:ole="">
                  <v:imagedata r:id="rId6" o:title=""/>
                </v:shape>
                <o:OLEObject Type="Embed" ProgID="PBrush" ShapeID="_x0000_i1025" DrawAspect="Content" ObjectID="_1745132732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7pt;height:70.6pt" o:ole="">
                  <v:imagedata r:id="rId8" o:title=""/>
                </v:shape>
                <o:OLEObject Type="Embed" ProgID="PBrush" ShapeID="_x0000_i1026" DrawAspect="Content" ObjectID="_1745132733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ShowQuestion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SYMBOL_SPACE):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TModalResult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spacing w:after="0" w:line="240" w:lineRule="auto"/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spacing w:after="0" w:line="240" w:lineRule="auto"/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Кнопки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: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Да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mrYes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Нет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mrNo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Отмена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(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по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17964">
              <w:rPr>
                <w:bCs/>
                <w:sz w:val="16"/>
                <w:szCs w:val="16"/>
                <w:lang w:val="en-US"/>
              </w:rPr>
              <w:t>умолчанию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)[</w:t>
            </w:r>
            <w:proofErr w:type="gramEnd"/>
            <w:r w:rsidRPr="00A17964">
              <w:rPr>
                <w:bCs/>
                <w:sz w:val="16"/>
                <w:szCs w:val="16"/>
                <w:lang w:val="en-US"/>
              </w:rPr>
              <w:t>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mrCancel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</w:t>
            </w:r>
          </w:p>
          <w:p w14:paraId="35BB6725" w14:textId="77777777" w:rsidR="00A17964" w:rsidRPr="00A17964" w:rsidRDefault="00A17964" w:rsidP="00A17964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A17964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A17964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A17964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A17964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A17964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A17964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A17964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A17964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1868D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TInt64Vector):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A17964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1,…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VSortDate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VSortTime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3EB45F0F" w14:textId="79E89DC3" w:rsidR="00685938" w:rsidRPr="00834725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</w:t>
            </w:r>
            <w:proofErr w:type="gram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28AF8FDA" w14:textId="390559CC" w:rsidR="00685938" w:rsidRPr="00685938" w:rsidRDefault="00685938" w:rsidP="00BE256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685938" w:rsidRDefault="00D23F65" w:rsidP="00000A5A">
      <w:pPr>
        <w:spacing w:after="0"/>
      </w:pPr>
    </w:p>
    <w:p w14:paraId="2D5DBA52" w14:textId="77777777" w:rsidR="0055796A" w:rsidRPr="00685938" w:rsidRDefault="0055796A">
      <w:pPr>
        <w:rPr>
          <w:rFonts w:ascii="Courier New" w:hAnsi="Courier New" w:cs="Courier New"/>
          <w:b/>
          <w:bCs/>
        </w:rPr>
      </w:pPr>
      <w:r w:rsidRPr="00685938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>
              <w:rPr>
                <w:rFonts w:cstheme="minorHAnsi"/>
                <w:sz w:val="16"/>
                <w:szCs w:val="16"/>
              </w:rPr>
              <w:t>элемента 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A17964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proofErr w:type="gramEnd"/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A17964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A17964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, вектор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A17964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A17964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A17964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A17964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A17964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A17964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A17964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A17964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A17964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A17964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A17964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A17964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 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Min(</w:t>
            </w:r>
            <w:proofErr w:type="gramEnd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Min(</w:t>
            </w:r>
            <w:proofErr w:type="gramEnd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Max(</w:t>
            </w:r>
            <w:proofErr w:type="gramEnd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Max(</w:t>
            </w:r>
            <w:proofErr w:type="gramEnd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Percent(</w:t>
            </w:r>
            <w:proofErr w:type="gram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8D618" w14:textId="77777777" w:rsidR="00F37F1A" w:rsidRDefault="00F37F1A" w:rsidP="00D82214">
      <w:pPr>
        <w:spacing w:after="0" w:line="240" w:lineRule="auto"/>
      </w:pPr>
      <w:r>
        <w:separator/>
      </w:r>
    </w:p>
  </w:endnote>
  <w:endnote w:type="continuationSeparator" w:id="0">
    <w:p w14:paraId="4AC947EF" w14:textId="77777777" w:rsidR="00F37F1A" w:rsidRDefault="00F37F1A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D66">
          <w:rPr>
            <w:noProof/>
          </w:rPr>
          <w:t>14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25A5B" w14:textId="77777777" w:rsidR="00F37F1A" w:rsidRDefault="00F37F1A" w:rsidP="00D82214">
      <w:pPr>
        <w:spacing w:after="0" w:line="240" w:lineRule="auto"/>
      </w:pPr>
      <w:r>
        <w:separator/>
      </w:r>
    </w:p>
  </w:footnote>
  <w:footnote w:type="continuationSeparator" w:id="0">
    <w:p w14:paraId="0B00FF3B" w14:textId="77777777" w:rsidR="00F37F1A" w:rsidRDefault="00F37F1A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E1"/>
    <w:rsid w:val="006E6058"/>
    <w:rsid w:val="006F5548"/>
    <w:rsid w:val="006F5BB7"/>
    <w:rsid w:val="006F7C38"/>
    <w:rsid w:val="0070269C"/>
    <w:rsid w:val="00713D80"/>
    <w:rsid w:val="0071700F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34</Pages>
  <Words>13167</Words>
  <Characters>75054</Characters>
  <Application>Microsoft Office Word</Application>
  <DocSecurity>0</DocSecurity>
  <Lines>625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298</cp:revision>
  <dcterms:created xsi:type="dcterms:W3CDTF">2021-05-02T06:20:00Z</dcterms:created>
  <dcterms:modified xsi:type="dcterms:W3CDTF">2023-05-09T07:19:00Z</dcterms:modified>
</cp:coreProperties>
</file>