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5F86" w:rsidRDefault="00605F86" w:rsidP="007335DE">
      <w:pPr>
        <w:pStyle w:val="a4"/>
      </w:pPr>
      <w:r>
        <w:t>Хеджирование валютных рисков опционами</w:t>
      </w:r>
    </w:p>
    <w:p w:rsidR="00605F86" w:rsidRDefault="00605F86"/>
    <w:p w:rsidR="00605F86" w:rsidRDefault="00605F86" w:rsidP="00736756">
      <w:r>
        <w:t xml:space="preserve">Вопрос того, насколько эффективно хеджироваться покупкой опционов, как определить, при каких обстоятельствах надо это делать, стоит очень остро. </w:t>
      </w:r>
    </w:p>
    <w:p w:rsidR="00605F86" w:rsidRDefault="00605F86" w:rsidP="00736756">
      <w:r>
        <w:t>Усиление колебаний курса рубля в последнее время создало угрозу для эффективности бизнеса экспортёров и импортёров.  Для экспортёра выгодно удорожание иностранной валюты, поэтому он будет хеджироваться от падения доллара. Для импортёра наоборот, валютные риски находятся сверху, поэтому импортёр хеджируется от роста курса валюты.</w:t>
      </w:r>
    </w:p>
    <w:p w:rsidR="00605F86" w:rsidRDefault="00605F86" w:rsidP="00736756">
      <w:r>
        <w:t xml:space="preserve">Мы протестировали простейшие стратегии валютного хеджера на паре USDRUB, который использует опционы. Для теста использовали исторические данные по, непосредственно, курсу пары доллар рубль на конец дня, ожидаемой волатильности внебиржевых опционов на деньгах (3 месяца и 1 год, АТМ) и процентной ставке по сделкам своп (3 месяца и 1 год). Окно исторических данных по курсу рубля, свопам и ожидаемой волатильности составило с 2010 по 2015 год. </w:t>
      </w:r>
    </w:p>
    <w:p w:rsidR="00605F86" w:rsidRDefault="00605F86" w:rsidP="00736756">
      <w:r>
        <w:t xml:space="preserve">Проверку проходили две стратегии - покупка опциона </w:t>
      </w:r>
      <w:r>
        <w:rPr>
          <w:lang w:val="en-US"/>
        </w:rPr>
        <w:t>call</w:t>
      </w:r>
      <w:r w:rsidRPr="00D1414B">
        <w:t xml:space="preserve"> (</w:t>
      </w:r>
      <w:r>
        <w:t xml:space="preserve">для импортёра) на 3 месяца и на 1 год, а также покупка опциона </w:t>
      </w:r>
      <w:r>
        <w:rPr>
          <w:lang w:val="en-US"/>
        </w:rPr>
        <w:t>put</w:t>
      </w:r>
      <w:r w:rsidRPr="00D1414B">
        <w:t xml:space="preserve"> (</w:t>
      </w:r>
      <w:r>
        <w:t>для экспортёра) на те же сроки. Для тестирования стратегий такой продолжительностью временной интервал 5 лет достаточно мал. Поэтому результат рассматривался как среднее по результату ежедневной покупки опциона с последующим подсчётом финансового результата на дату экспирации.</w:t>
      </w:r>
    </w:p>
    <w:p w:rsidR="00605F86" w:rsidRDefault="00605F86" w:rsidP="00736756">
      <w:r>
        <w:t>Параметры оценки эффективности:</w:t>
      </w:r>
    </w:p>
    <w:p w:rsidR="00605F86" w:rsidRDefault="00605F86" w:rsidP="00BB42FD">
      <w:pPr>
        <w:pStyle w:val="a3"/>
        <w:numPr>
          <w:ilvl w:val="0"/>
          <w:numId w:val="4"/>
        </w:numPr>
      </w:pPr>
      <w:r>
        <w:t>Средняя прибыль (средняя доходность) сделки</w:t>
      </w:r>
    </w:p>
    <w:p w:rsidR="00605F86" w:rsidRDefault="00605F86" w:rsidP="00BB42FD">
      <w:pPr>
        <w:pStyle w:val="a3"/>
        <w:numPr>
          <w:ilvl w:val="0"/>
          <w:numId w:val="4"/>
        </w:numPr>
      </w:pPr>
      <w:r>
        <w:t>Премия как процент от цены валюты</w:t>
      </w:r>
    </w:p>
    <w:p w:rsidR="00605F86" w:rsidRDefault="00605F86" w:rsidP="00BB42FD">
      <w:pPr>
        <w:pStyle w:val="a3"/>
        <w:numPr>
          <w:ilvl w:val="0"/>
          <w:numId w:val="4"/>
        </w:numPr>
      </w:pPr>
      <w:r>
        <w:t>Отношение премии к приросту валюты</w:t>
      </w:r>
    </w:p>
    <w:p w:rsidR="00605F86" w:rsidRDefault="00605F86" w:rsidP="00D63A90">
      <w:pPr>
        <w:pStyle w:val="a3"/>
      </w:pPr>
    </w:p>
    <w:p w:rsidR="00605F86" w:rsidRDefault="00605F86" w:rsidP="00D63A90">
      <w:pPr>
        <w:pStyle w:val="a3"/>
        <w:ind w:left="0"/>
      </w:pPr>
    </w:p>
    <w:p w:rsidR="00605F86" w:rsidRPr="00925E83" w:rsidRDefault="00605F86" w:rsidP="00BB42FD"/>
    <w:sectPr w:rsidR="00605F86" w:rsidRPr="00925E83" w:rsidSect="000C57D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DD790A"/>
    <w:multiLevelType w:val="hybridMultilevel"/>
    <w:tmpl w:val="05282988"/>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nsid w:val="391B1269"/>
    <w:multiLevelType w:val="hybridMultilevel"/>
    <w:tmpl w:val="F97CB1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D4B1F2F"/>
    <w:multiLevelType w:val="hybridMultilevel"/>
    <w:tmpl w:val="A662AEC6"/>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nsid w:val="6E2D1195"/>
    <w:multiLevelType w:val="hybridMultilevel"/>
    <w:tmpl w:val="934C4FB8"/>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36756"/>
    <w:rsid w:val="00021BA8"/>
    <w:rsid w:val="000628C0"/>
    <w:rsid w:val="000C57D4"/>
    <w:rsid w:val="002235F1"/>
    <w:rsid w:val="002531E0"/>
    <w:rsid w:val="002C3F78"/>
    <w:rsid w:val="00605F86"/>
    <w:rsid w:val="0070558C"/>
    <w:rsid w:val="007335DE"/>
    <w:rsid w:val="00736756"/>
    <w:rsid w:val="00817E4B"/>
    <w:rsid w:val="008C582C"/>
    <w:rsid w:val="00925E83"/>
    <w:rsid w:val="00986D41"/>
    <w:rsid w:val="00A8763F"/>
    <w:rsid w:val="00B32E93"/>
    <w:rsid w:val="00BB42FD"/>
    <w:rsid w:val="00C06F90"/>
    <w:rsid w:val="00D1414B"/>
    <w:rsid w:val="00D63A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15:docId w15:val="{3DEA9049-1B58-4E87-A56D-D6A632574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eastAsia="en-US"/>
    </w:rPr>
  </w:style>
  <w:style w:type="paragraph" w:styleId="2">
    <w:name w:val="heading 2"/>
    <w:basedOn w:val="a"/>
    <w:next w:val="a"/>
    <w:link w:val="20"/>
    <w:uiPriority w:val="99"/>
    <w:qFormat/>
    <w:rsid w:val="007335DE"/>
    <w:pPr>
      <w:keepNext/>
      <w:keepLines/>
      <w:spacing w:before="40" w:after="0"/>
      <w:outlineLvl w:val="1"/>
    </w:pPr>
    <w:rPr>
      <w:rFonts w:ascii="Calibri Light" w:eastAsia="Times New Roman" w:hAnsi="Calibri Light"/>
      <w:color w:val="2E74B5"/>
      <w:sz w:val="26"/>
      <w:szCs w:val="26"/>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9"/>
    <w:locked/>
    <w:rsid w:val="007335DE"/>
    <w:rPr>
      <w:rFonts w:ascii="Calibri Light" w:hAnsi="Calibri Light"/>
      <w:color w:val="2E74B5"/>
      <w:sz w:val="26"/>
    </w:rPr>
  </w:style>
  <w:style w:type="paragraph" w:styleId="a3">
    <w:name w:val="List Paragraph"/>
    <w:basedOn w:val="a"/>
    <w:uiPriority w:val="99"/>
    <w:qFormat/>
    <w:rsid w:val="00736756"/>
    <w:pPr>
      <w:ind w:left="720"/>
      <w:contextualSpacing/>
    </w:pPr>
  </w:style>
  <w:style w:type="paragraph" w:styleId="a4">
    <w:name w:val="Title"/>
    <w:basedOn w:val="a"/>
    <w:next w:val="a"/>
    <w:link w:val="a5"/>
    <w:uiPriority w:val="99"/>
    <w:qFormat/>
    <w:rsid w:val="007335DE"/>
    <w:pPr>
      <w:spacing w:after="0" w:line="240" w:lineRule="auto"/>
      <w:contextualSpacing/>
    </w:pPr>
    <w:rPr>
      <w:rFonts w:ascii="Calibri Light" w:eastAsia="Times New Roman" w:hAnsi="Calibri Light"/>
      <w:spacing w:val="-10"/>
      <w:kern w:val="28"/>
      <w:sz w:val="56"/>
      <w:szCs w:val="56"/>
    </w:rPr>
  </w:style>
  <w:style w:type="character" w:customStyle="1" w:styleId="a5">
    <w:name w:val="Название Знак"/>
    <w:basedOn w:val="a0"/>
    <w:link w:val="a4"/>
    <w:uiPriority w:val="99"/>
    <w:locked/>
    <w:rsid w:val="007335DE"/>
    <w:rPr>
      <w:rFonts w:ascii="Calibri Light" w:hAnsi="Calibri Light"/>
      <w:spacing w:val="-10"/>
      <w:kern w:val="28"/>
      <w:sz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1</Pages>
  <Words>225</Words>
  <Characters>1287</Characters>
  <Application>Microsoft Office Word</Application>
  <DocSecurity>0</DocSecurity>
  <Lines>10</Lines>
  <Paragraphs>3</Paragraphs>
  <ScaleCrop>false</ScaleCrop>
  <Company/>
  <LinksUpToDate>false</LinksUpToDate>
  <CharactersWithSpaces>1509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Andrey Arhipov</cp:lastModifiedBy>
  <cp:revision>12</cp:revision>
  <dcterms:created xsi:type="dcterms:W3CDTF">2015-09-10T10:12:00Z</dcterms:created>
  <dcterms:modified xsi:type="dcterms:W3CDTF">2015-09-11T08:16:00Z</dcterms:modified>
</cp:coreProperties>
</file>