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43" w:rsidRPr="00372E9F" w:rsidRDefault="00701443" w:rsidP="007335DE">
      <w:pPr>
        <w:pStyle w:val="a4"/>
        <w:rPr>
          <w:lang w:val="en-US"/>
        </w:rPr>
      </w:pPr>
      <w:r>
        <w:rPr>
          <w:lang w:val="en-US"/>
        </w:rPr>
        <w:t>C</w:t>
      </w:r>
      <w:r w:rsidRPr="00372E9F">
        <w:rPr>
          <w:lang w:val="en-US"/>
        </w:rPr>
        <w:t xml:space="preserve">all </w:t>
      </w:r>
      <w:r>
        <w:t>против</w:t>
      </w:r>
      <w:r w:rsidRPr="00372E9F">
        <w:rPr>
          <w:lang w:val="en-US"/>
        </w:rPr>
        <w:t xml:space="preserve"> </w:t>
      </w:r>
      <w:r>
        <w:t>валютных</w:t>
      </w:r>
      <w:r w:rsidRPr="00372E9F">
        <w:rPr>
          <w:lang w:val="en-US"/>
        </w:rPr>
        <w:t xml:space="preserve"> </w:t>
      </w:r>
      <w:r>
        <w:t>рисков</w:t>
      </w:r>
      <w:r w:rsidRPr="00372E9F">
        <w:rPr>
          <w:lang w:val="en-US"/>
        </w:rPr>
        <w:t xml:space="preserve"> </w:t>
      </w:r>
    </w:p>
    <w:p w:rsidR="00701443" w:rsidRPr="00372E9F" w:rsidRDefault="00701443" w:rsidP="00411B72">
      <w:pPr>
        <w:rPr>
          <w:lang w:val="en-US"/>
        </w:rPr>
      </w:pPr>
    </w:p>
    <w:p w:rsidR="00701443" w:rsidRPr="00372E9F" w:rsidRDefault="00701443" w:rsidP="00411B72">
      <w:pPr>
        <w:spacing w:after="0"/>
        <w:jc w:val="right"/>
        <w:rPr>
          <w:i/>
          <w:lang w:val="en-US"/>
        </w:rPr>
      </w:pPr>
      <w:r w:rsidRPr="00372E9F">
        <w:rPr>
          <w:i/>
          <w:lang w:val="en-US"/>
        </w:rPr>
        <w:t>«</w:t>
      </w:r>
      <w:r w:rsidRPr="00411B72">
        <w:rPr>
          <w:i/>
          <w:lang w:val="en-US"/>
        </w:rPr>
        <w:t>So call me, maybe?</w:t>
      </w:r>
      <w:r w:rsidRPr="00372E9F">
        <w:rPr>
          <w:i/>
          <w:lang w:val="en-US"/>
        </w:rPr>
        <w:t>»</w:t>
      </w:r>
    </w:p>
    <w:p w:rsidR="00701443" w:rsidRPr="00411B72" w:rsidRDefault="00701443" w:rsidP="00411B72">
      <w:pPr>
        <w:spacing w:after="0"/>
        <w:jc w:val="right"/>
        <w:rPr>
          <w:i/>
          <w:lang w:val="en-US"/>
        </w:rPr>
      </w:pPr>
      <w:r w:rsidRPr="00411B72">
        <w:rPr>
          <w:i/>
          <w:lang w:val="en-US"/>
        </w:rPr>
        <w:t>Carly Rae Jepsen</w:t>
      </w:r>
    </w:p>
    <w:p w:rsidR="00701443" w:rsidRPr="00372E9F" w:rsidRDefault="00701443" w:rsidP="00411B72">
      <w:pPr>
        <w:rPr>
          <w:sz w:val="28"/>
          <w:szCs w:val="28"/>
        </w:rPr>
      </w:pPr>
      <w:r w:rsidRPr="00372E9F">
        <w:rPr>
          <w:sz w:val="28"/>
          <w:szCs w:val="28"/>
        </w:rPr>
        <w:t>Зачем?</w:t>
      </w:r>
    </w:p>
    <w:p w:rsidR="00701443" w:rsidRDefault="00701443">
      <w:r>
        <w:t xml:space="preserve">Ослабление рубля в 2014 – 2015 годах спровоцировало всплеск интереса импортёров к валютному хеджированию. Такой интерес стал носить массовый характер. Как показывает наша практика, понимание опционов как инструмента снижения валютного риска среди финансовых директоров малого и среднего бизнеса всё ещё очень мало. </w:t>
      </w:r>
    </w:p>
    <w:p w:rsidR="00701443" w:rsidRDefault="00701443">
      <w:r>
        <w:t>Стратегия хеджирования форвардом для большинства ясна, как по конечному результату, так и по ценообразованию. У опциона же  есть ряд преимуществ перед форвардом – меньшее отвлечение денежных средств под сделку и выигрыш от положительного изменения валютного курса. Но картину смазывает увеличение расходов в виде уплаты опционной премии и нелинейность её определения.</w:t>
      </w:r>
    </w:p>
    <w:p w:rsidR="00701443" w:rsidRDefault="00701443" w:rsidP="000C495F">
      <w:r>
        <w:t xml:space="preserve">Главный вопрос: стоит ли игра свеч? Мы протестировали стратегию покупки валютного опциона импортёром. </w:t>
      </w:r>
    </w:p>
    <w:p w:rsidR="00701443" w:rsidRDefault="00701443" w:rsidP="000C495F">
      <w:r w:rsidRPr="00996D89">
        <w:rPr>
          <w:b/>
          <w:i/>
        </w:rPr>
        <w:t>Результаты показали: стратегия покупки опциона call снижает валютный риск в 2-6 раз в зависимости от рыночных условий</w:t>
      </w:r>
      <w:r>
        <w:t>. Более того, в определённых обстоятельствах, есть возможность получить и дополнительную прибыль.</w:t>
      </w:r>
    </w:p>
    <w:p w:rsidR="00701443" w:rsidRDefault="00701443" w:rsidP="007367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6pt">
            <v:imagedata r:id="rId5" o:title=""/>
          </v:shape>
        </w:pict>
      </w:r>
    </w:p>
    <w:p w:rsidR="00701443" w:rsidRPr="00372E9F" w:rsidRDefault="00701443" w:rsidP="00736756">
      <w:pPr>
        <w:rPr>
          <w:sz w:val="28"/>
          <w:szCs w:val="28"/>
        </w:rPr>
      </w:pPr>
      <w:r w:rsidRPr="00372E9F">
        <w:rPr>
          <w:sz w:val="28"/>
          <w:szCs w:val="28"/>
        </w:rPr>
        <w:t>Как?</w:t>
      </w:r>
    </w:p>
    <w:p w:rsidR="00701443" w:rsidRDefault="00701443" w:rsidP="00736756">
      <w:r>
        <w:t>Для тестирования стратегии мы использовали следующие исторические данные за период с 2010 по 2015 гг.:</w:t>
      </w:r>
    </w:p>
    <w:p w:rsidR="00701443" w:rsidRDefault="00701443" w:rsidP="000C495F">
      <w:pPr>
        <w:numPr>
          <w:ilvl w:val="0"/>
          <w:numId w:val="5"/>
        </w:numPr>
        <w:tabs>
          <w:tab w:val="clear" w:pos="1485"/>
          <w:tab w:val="num" w:pos="1080"/>
        </w:tabs>
        <w:spacing w:after="0" w:line="240" w:lineRule="auto"/>
        <w:ind w:left="1078" w:hanging="539"/>
      </w:pPr>
      <w:r>
        <w:t>курс доллара по отношению к рублю на конец дня (источник – oanda.</w:t>
      </w:r>
      <w:r>
        <w:rPr>
          <w:lang w:val="en-US"/>
        </w:rPr>
        <w:t>com</w:t>
      </w:r>
      <w:r>
        <w:t xml:space="preserve">); </w:t>
      </w:r>
    </w:p>
    <w:p w:rsidR="00701443" w:rsidRDefault="00701443" w:rsidP="000C495F">
      <w:pPr>
        <w:numPr>
          <w:ilvl w:val="0"/>
          <w:numId w:val="5"/>
        </w:numPr>
        <w:tabs>
          <w:tab w:val="clear" w:pos="1485"/>
          <w:tab w:val="num" w:pos="1080"/>
        </w:tabs>
        <w:spacing w:after="0" w:line="240" w:lineRule="auto"/>
        <w:ind w:left="1078" w:hanging="539"/>
      </w:pPr>
      <w:r>
        <w:t>ожидаемая волатильность внебиржевых опционов на деньгах 3 месяца АТМ по данным Reuters;</w:t>
      </w:r>
    </w:p>
    <w:p w:rsidR="00701443" w:rsidRDefault="00701443" w:rsidP="000C495F">
      <w:pPr>
        <w:numPr>
          <w:ilvl w:val="0"/>
          <w:numId w:val="5"/>
        </w:numPr>
        <w:tabs>
          <w:tab w:val="clear" w:pos="1485"/>
          <w:tab w:val="num" w:pos="1080"/>
        </w:tabs>
        <w:spacing w:after="0" w:line="240" w:lineRule="auto"/>
        <w:ind w:left="1078" w:hanging="539"/>
      </w:pPr>
      <w:r>
        <w:t>процентная ставка по свопам на 3 месяца по данным Reuters.</w:t>
      </w:r>
    </w:p>
    <w:p w:rsidR="00701443" w:rsidRPr="00AF53D7" w:rsidRDefault="00701443" w:rsidP="00736756"/>
    <w:p w:rsidR="00701443" w:rsidRDefault="00701443" w:rsidP="00736756">
      <w:r>
        <w:t>Валютный риск выражен как скользящий 90-дневный относительный прирост курса по паре USDRUB. В таблице в столбце «Валютный риск» рассчитано среднее значение за период. Отрицательное значение говорит об убытке (наличии риска), который несёт импортёр за счёт изменения валютного курса.</w:t>
      </w:r>
    </w:p>
    <w:p w:rsidR="00701443" w:rsidRDefault="00701443" w:rsidP="00736756">
      <w:r>
        <w:t>Финансовый результат по опциону рассчитывался по стандартной схеме: положительный прирост курса доллара минус премия. Для расчёта премии опциона проводился по формуле Блека-Шоулза на основе исторических данных (источник см. выше).</w:t>
      </w:r>
    </w:p>
    <w:p w:rsidR="00701443" w:rsidRDefault="00701443" w:rsidP="00736756">
      <w:r>
        <w:t xml:space="preserve">Разница между приростом доллара и финрезом по опциону даёт оценку захеджированного риска. Средние значения по периодам указаны в таблице. </w:t>
      </w:r>
    </w:p>
    <w:p w:rsidR="00701443" w:rsidRDefault="00701443" w:rsidP="00736756">
      <w:r>
        <w:t>Валютный рынок в 2014 году сильно изменился. Поэтому мы рассмотрели не только сводные результаты за весь период тестирования, но и  отдельно по двум интервалам: до 2013 года включительно и после.</w:t>
      </w:r>
    </w:p>
    <w:p w:rsidR="00701443" w:rsidRPr="00AF53D7" w:rsidRDefault="00701443" w:rsidP="00736756">
      <w:r>
        <w:t>До 2014 года курс валюты контролировал ЦБ РФ, рынок был низковолатильный, опционы дешёвые, а интерес к валютному хеджированию не таким массовым. В 2014 году валютный рынок претерпел сильные изменения: санкции привели к дефициту валютных заимствований, а ЦБ отказался от валютного коридора и отправил рубль в «свободное плавание». Плюс, падение цен на нефть и по итогам 2014 года рубль стал самой волатильной валютой среди валют развивающихся рынков.</w:t>
      </w:r>
    </w:p>
    <w:p w:rsidR="00701443" w:rsidRDefault="00701443" w:rsidP="00736756">
      <w:r>
        <w:t>Результаты представлены в виде скользящего результат соответствующего периода хеджирования. Суммарный результат – средние значения. Кроме того, мы разбили исторический интервал тестирования на 2 период: до 2014 года и после. В первом интервале ЦБ России контролировал курс и держал валюту в определённом коридоре. Во втором – курс доллара был отправлен в «свободное плаванье».  Рыночные условия в этих интервалах различаются, поэтому мы рассмотрели общий результат и отдельно по каждому интервалу.</w:t>
      </w:r>
    </w:p>
    <w:p w:rsidR="00701443" w:rsidRDefault="00701443" w:rsidP="00BB42FD">
      <w:pPr>
        <w:rPr>
          <w:sz w:val="28"/>
          <w:szCs w:val="28"/>
        </w:rPr>
      </w:pPr>
    </w:p>
    <w:p w:rsidR="00701443" w:rsidRPr="00372E9F" w:rsidRDefault="00701443" w:rsidP="00BB42FD">
      <w:pPr>
        <w:rPr>
          <w:sz w:val="28"/>
          <w:szCs w:val="28"/>
        </w:rPr>
      </w:pPr>
      <w:r w:rsidRPr="00372E9F">
        <w:rPr>
          <w:sz w:val="28"/>
          <w:szCs w:val="28"/>
        </w:rPr>
        <w:t>Итого</w:t>
      </w:r>
    </w:p>
    <w:p w:rsidR="00701443" w:rsidRDefault="00701443" w:rsidP="00812A5D">
      <w:pPr>
        <w:numPr>
          <w:ilvl w:val="0"/>
          <w:numId w:val="8"/>
        </w:numPr>
      </w:pPr>
      <w:r>
        <w:t xml:space="preserve">Покупка опциона call действительно </w:t>
      </w:r>
      <w:r w:rsidRPr="00A31F60">
        <w:rPr>
          <w:b/>
        </w:rPr>
        <w:t>снижала валютный риск с 3,45% до 0,42% на всём интервале тестирования</w:t>
      </w:r>
      <w:r>
        <w:t xml:space="preserve">. </w:t>
      </w:r>
    </w:p>
    <w:p w:rsidR="00701443" w:rsidRPr="00812A5D" w:rsidRDefault="00701443" w:rsidP="00812A5D">
      <w:pPr>
        <w:numPr>
          <w:ilvl w:val="0"/>
          <w:numId w:val="8"/>
        </w:numPr>
      </w:pPr>
      <w:r>
        <w:t xml:space="preserve">До 2014 года риск был значительно меньше среднего (-1% до 2014 против 3,5% после),  но и на этом участке </w:t>
      </w:r>
      <w:r w:rsidRPr="00A31F60">
        <w:rPr>
          <w:b/>
        </w:rPr>
        <w:t>покупка опциона</w:t>
      </w:r>
      <w:r>
        <w:t xml:space="preserve"> </w:t>
      </w:r>
      <w:r w:rsidRPr="00812A5D">
        <w:rPr>
          <w:b/>
        </w:rPr>
        <w:t>снижала риск практически в 2 раза: с -1% до -0,5%.</w:t>
      </w:r>
    </w:p>
    <w:p w:rsidR="00701443" w:rsidRPr="00A31F60" w:rsidRDefault="00701443" w:rsidP="00812A5D">
      <w:pPr>
        <w:numPr>
          <w:ilvl w:val="0"/>
          <w:numId w:val="8"/>
        </w:numPr>
      </w:pPr>
      <w:r>
        <w:t>В 2014 – 2015 гг. за счёт роста рыночной волатильности (сначала резкий рост, потом резкое падение доллара), использование опционов позволило вывести совместный финансовый результат в положительную область. В итоге, за счёт хеджирования</w:t>
      </w:r>
      <w:r w:rsidRPr="00A31F60">
        <w:rPr>
          <w:b/>
        </w:rPr>
        <w:t>, средний финансовый результат по валютной и хеджирующей позициям составил +4,7%.</w:t>
      </w:r>
    </w:p>
    <w:p w:rsidR="00701443" w:rsidRDefault="00701443" w:rsidP="00A31F60"/>
    <w:p w:rsidR="00701443" w:rsidRPr="00372E9F" w:rsidRDefault="00701443" w:rsidP="00A31F60">
      <w:pPr>
        <w:rPr>
          <w:sz w:val="28"/>
          <w:szCs w:val="28"/>
        </w:rPr>
      </w:pPr>
      <w:r w:rsidRPr="00372E9F">
        <w:rPr>
          <w:sz w:val="28"/>
          <w:szCs w:val="28"/>
        </w:rPr>
        <w:t>В заключение</w:t>
      </w:r>
    </w:p>
    <w:p w:rsidR="00701443" w:rsidRDefault="00701443" w:rsidP="00A31F60">
      <w:r>
        <w:t>Наше исследование достигло поставленной задачи: мы показали на цифрах, что хеджирование опционами достойно внимания. Риски роста доллара эффективно перекрывались и на относительно спокойном рынке, и на волатильном. Можно сказать, что рыночная оценка опционов благоприятна для развития хеджирования на российском рынке для компаний, заинтересованных в снижении валютных рисков по своей основной деятельности.</w:t>
      </w:r>
    </w:p>
    <w:p w:rsidR="00701443" w:rsidRDefault="00701443" w:rsidP="00A31F60">
      <w:r>
        <w:t xml:space="preserve">Мы понимаем, что тест на истории за последние 5 лет валютного рынка не дают исчерпывающего описания эффективности хеджирования. Мы были ограничены этими временными рамками в силу того, что история рынка российских валютных деривативов неглубокая. </w:t>
      </w:r>
    </w:p>
    <w:p w:rsidR="00701443" w:rsidRDefault="00701443" w:rsidP="00A31F60">
      <w:r>
        <w:t xml:space="preserve">Тем не менее, важно отметить, что: </w:t>
      </w:r>
    </w:p>
    <w:p w:rsidR="00701443" w:rsidRDefault="00701443" w:rsidP="00CD0705">
      <w:pPr>
        <w:numPr>
          <w:ilvl w:val="0"/>
          <w:numId w:val="9"/>
        </w:numPr>
        <w:spacing w:after="80" w:line="240" w:lineRule="auto"/>
        <w:ind w:left="760" w:hanging="357"/>
      </w:pPr>
      <w:r>
        <w:t xml:space="preserve">выборка включает в себя два принципиально разных состояний рынка, а </w:t>
      </w:r>
    </w:p>
    <w:p w:rsidR="00701443" w:rsidRDefault="00701443" w:rsidP="00CD0705">
      <w:pPr>
        <w:numPr>
          <w:ilvl w:val="0"/>
          <w:numId w:val="9"/>
        </w:numPr>
        <w:spacing w:after="80" w:line="240" w:lineRule="auto"/>
        <w:ind w:left="760" w:hanging="357"/>
      </w:pPr>
      <w:r>
        <w:t xml:space="preserve">параметры стратегии не проходили оптимизацию и это исключило «подгонку» результата под определённый исторический интервал. </w:t>
      </w:r>
    </w:p>
    <w:p w:rsidR="00701443" w:rsidRPr="00812A5D" w:rsidRDefault="00701443" w:rsidP="00CD0705">
      <w:r>
        <w:t xml:space="preserve">Именно поэтому результат исследования можно считать веским аргументом в пользу применения опционных стратегий для хеджирования рисков роста курса доллара США против рубля. </w:t>
      </w:r>
    </w:p>
    <w:sectPr w:rsidR="00701443" w:rsidRPr="00812A5D" w:rsidSect="000C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75B4"/>
    <w:multiLevelType w:val="hybridMultilevel"/>
    <w:tmpl w:val="F9E8EE86"/>
    <w:lvl w:ilvl="0" w:tplc="04190019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1">
    <w:nsid w:val="27163AC9"/>
    <w:multiLevelType w:val="multilevel"/>
    <w:tmpl w:val="9F9E0A0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2">
    <w:nsid w:val="2BDD790A"/>
    <w:multiLevelType w:val="hybridMultilevel"/>
    <w:tmpl w:val="052829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61C90"/>
    <w:multiLevelType w:val="hybridMultilevel"/>
    <w:tmpl w:val="E6945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91B1269"/>
    <w:multiLevelType w:val="hybridMultilevel"/>
    <w:tmpl w:val="F97C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1F2F"/>
    <w:multiLevelType w:val="hybridMultilevel"/>
    <w:tmpl w:val="A662AE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DB49BB"/>
    <w:multiLevelType w:val="multilevel"/>
    <w:tmpl w:val="C2E44B70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>
    <w:nsid w:val="6AE76B9A"/>
    <w:multiLevelType w:val="hybridMultilevel"/>
    <w:tmpl w:val="1B12E2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E2D1195"/>
    <w:multiLevelType w:val="hybridMultilevel"/>
    <w:tmpl w:val="934C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EF42761"/>
    <w:multiLevelType w:val="hybridMultilevel"/>
    <w:tmpl w:val="C2E44B70"/>
    <w:lvl w:ilvl="0" w:tplc="18EC5AA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756"/>
    <w:rsid w:val="00021BA8"/>
    <w:rsid w:val="000628C0"/>
    <w:rsid w:val="000C495F"/>
    <w:rsid w:val="000C57D4"/>
    <w:rsid w:val="000D1667"/>
    <w:rsid w:val="002235F1"/>
    <w:rsid w:val="002531E0"/>
    <w:rsid w:val="002C3F78"/>
    <w:rsid w:val="00313BB1"/>
    <w:rsid w:val="00320AFF"/>
    <w:rsid w:val="00372E9F"/>
    <w:rsid w:val="00411B72"/>
    <w:rsid w:val="00442B0E"/>
    <w:rsid w:val="00471463"/>
    <w:rsid w:val="005C79A2"/>
    <w:rsid w:val="00605F86"/>
    <w:rsid w:val="00701443"/>
    <w:rsid w:val="0070558C"/>
    <w:rsid w:val="007335DE"/>
    <w:rsid w:val="00736756"/>
    <w:rsid w:val="00812A5D"/>
    <w:rsid w:val="00817E4B"/>
    <w:rsid w:val="008C582C"/>
    <w:rsid w:val="00925E83"/>
    <w:rsid w:val="00986D41"/>
    <w:rsid w:val="00996D89"/>
    <w:rsid w:val="00A22022"/>
    <w:rsid w:val="00A31F60"/>
    <w:rsid w:val="00A8763F"/>
    <w:rsid w:val="00AC6B6C"/>
    <w:rsid w:val="00AF53D7"/>
    <w:rsid w:val="00B00A17"/>
    <w:rsid w:val="00B32E93"/>
    <w:rsid w:val="00B51548"/>
    <w:rsid w:val="00B72412"/>
    <w:rsid w:val="00BB42FD"/>
    <w:rsid w:val="00C06F90"/>
    <w:rsid w:val="00C96181"/>
    <w:rsid w:val="00CD0705"/>
    <w:rsid w:val="00CF7E34"/>
    <w:rsid w:val="00D11F8A"/>
    <w:rsid w:val="00D1414B"/>
    <w:rsid w:val="00D63A90"/>
    <w:rsid w:val="00DF774A"/>
    <w:rsid w:val="00EB2784"/>
    <w:rsid w:val="00FA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126F4937-5F8D-45BB-9346-6DA005F5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335D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7335DE"/>
    <w:rPr>
      <w:rFonts w:ascii="Calibri Light" w:hAnsi="Calibri Light"/>
      <w:color w:val="2E74B5"/>
      <w:sz w:val="26"/>
    </w:rPr>
  </w:style>
  <w:style w:type="paragraph" w:styleId="a3">
    <w:name w:val="List Paragraph"/>
    <w:basedOn w:val="a"/>
    <w:uiPriority w:val="99"/>
    <w:qFormat/>
    <w:rsid w:val="00736756"/>
    <w:pPr>
      <w:ind w:left="720"/>
      <w:contextualSpacing/>
    </w:pPr>
  </w:style>
  <w:style w:type="paragraph" w:styleId="a4">
    <w:name w:val="Title"/>
    <w:basedOn w:val="a"/>
    <w:next w:val="a"/>
    <w:link w:val="a5"/>
    <w:uiPriority w:val="99"/>
    <w:qFormat/>
    <w:rsid w:val="007335DE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99"/>
    <w:locked/>
    <w:rsid w:val="007335DE"/>
    <w:rPr>
      <w:rFonts w:ascii="Calibri Light" w:hAnsi="Calibri Light"/>
      <w:spacing w:val="-10"/>
      <w:kern w:val="28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 Arhipov</cp:lastModifiedBy>
  <cp:revision>26</cp:revision>
  <dcterms:created xsi:type="dcterms:W3CDTF">2015-09-10T10:12:00Z</dcterms:created>
  <dcterms:modified xsi:type="dcterms:W3CDTF">2015-09-17T15:03:00Z</dcterms:modified>
</cp:coreProperties>
</file>