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60"/>
      </w:pPr>
      <w:r>
        <w:rPr>
          <w:rFonts w:ascii="Calibri" w:hAnsi="Calibri" w:eastAsia="Calibri" w:cs="Calibri"/>
          <w:b/>
          <w:bCs/>
          <w:color w:val="0F4C5C"/>
          <w:sz w:val="40"/>
          <w:szCs w:val="40"/>
        </w:rPr>
        <w:t>Сервис анализа экономической активности региона</w:t>
      </w:r>
    </w:p>
    <w:p>
      <w:pPr>
        <w:spacing w:after="120" w:line="276" w:lineRule="auto"/>
      </w:pPr>
      <w:r>
        <w:rPr>
          <w:rFonts w:ascii="Calibri" w:hAnsi="Calibri" w:eastAsia="Calibri" w:cs="Calibri"/>
          <w:i/>
          <w:iCs/>
          <w:color w:val="5F747B"/>
          <w:sz w:val="22"/>
          <w:szCs w:val="22"/>
        </w:rPr>
        <w:t>Архитектура прототипа</w:t>
      </w:r>
    </w:p>
    <w:p>
      <w:pPr>
        <w:pStyle w:val="2"/>
        <w:keepNext/>
        <w:spacing w:before="300" w:after="120"/>
      </w:pPr>
      <w:r>
        <w:rPr>
          <w:rFonts w:ascii="Calibri" w:hAnsi="Calibri" w:eastAsia="Calibri" w:cs="Calibri"/>
          <w:b/>
          <w:bCs/>
          <w:color w:val="0F4C5C"/>
          <w:sz w:val="30"/>
          <w:szCs w:val="30"/>
        </w:rPr>
        <w:t>1. Назначение и границы</w:t>
      </w:r>
    </w:p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Сервис строит граф экономической активности региона по данным OpenStreetMap и показывает его на карте. Вершины графа — экономические субъекты (населённые пункты, банки, работодатели), рёбра — связи спроса и предложения внутри домена. Для каждого района и региона считается средняя степень вершины.</w:t>
      </w:r>
    </w:p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Документ описывает архитектуру прототипа. Цель прототипа — рабочий сквозной сценарий: выбрать регион, загрузить данные, получить граф и увидеть его в браузере. Промышленные требования (авторизация, масштабирование, много пользователей) в границы прототипа не входят.</w:t>
      </w:r>
    </w:p>
    <w:p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0F4C5C"/>
          <w:sz w:val="25"/>
          <w:szCs w:val="25"/>
        </w:rPr>
        <w:t>Домены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600"/>
        <w:gridCol w:w="5338"/>
      </w:tblGrid>
      <w:tr>
        <w:trPr>
          <w:tblHeader/>
        </w:trPr>
        <w:tc>
          <w:tcPr>
            <w:tcW w:w="17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Домен</w:t>
            </w:r>
          </w:p>
        </w:tc>
        <w:tc>
          <w:tcPr>
            <w:tcW w:w="26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Статус</w:t>
            </w:r>
          </w:p>
        </w:tc>
        <w:tc>
          <w:tcPr>
            <w:tcW w:w="5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Состав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money</w:t>
            </w:r>
          </w:p>
        </w:tc>
        <w:tc>
          <w:tcPr>
            <w:tcW w:w="26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используется</w:t>
            </w:r>
          </w:p>
        </w:tc>
        <w:tc>
          <w:tcPr>
            <w:tcW w:w="5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Спрос: населённые пункты. Предложение: банки и банкоматы.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labor</w:t>
            </w:r>
          </w:p>
        </w:tc>
        <w:tc>
          <w:tcPr>
            <w:tcW w:w="26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используется</w:t>
            </w:r>
          </w:p>
        </w:tc>
        <w:tc>
          <w:tcPr>
            <w:tcW w:w="5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Спрос: работодатели. Предложение: населённые пункты (рабочая сила).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goods</w:t>
            </w:r>
          </w:p>
        </w:tc>
        <w:tc>
          <w:tcPr>
            <w:tcW w:w="26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отключён</w:t>
            </w:r>
          </w:p>
        </w:tc>
        <w:tc>
          <w:tcPr>
            <w:tcW w:w="5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 xml:space="preserve">Магазины и услуги. </w:t>
            </w:r>
          </w:p>
        </w:tc>
      </w:tr>
    </w:tbl>
    <w:p>
      <w:pPr>
        <w:pStyle w:val="2"/>
        <w:keepNext/>
        <w:spacing w:before="300" w:after="120"/>
      </w:pPr>
      <w:r>
        <w:rPr>
          <w:rFonts w:ascii="Calibri" w:hAnsi="Calibri" w:eastAsia="Calibri" w:cs="Calibri"/>
          <w:b/>
          <w:bCs/>
          <w:color w:val="0F4C5C"/>
          <w:sz w:val="30"/>
          <w:szCs w:val="30"/>
        </w:rPr>
        <w:t>2. Архитектурные принципы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Интерфейс находится на верхнем уровне. Всё, что видит аналитик, определяет остальные части, а не наоборот.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Подготовка данных и показ разделены. Скрипты на Python готовят данные заранее, браузер только читает готовые файлы.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Отдельного сервера и REST API нет. Интерфейс и данные связаны через статические файлы GeoJSON и JSON.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DuckDB служит единой рабочей базой конвейера. Модули обмениваются данными через её таблицы.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Источник данных — OpenStreetMap. Классификация объектов задаётся правилами по тегам в конфиге, а не кодом.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Регион задаётся конфигом. Запуск для другого региона не требует изменения кода.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Управление слоями не связано с базой данных. Включение и фильтрация слоёв происходят в браузере.</w:t>
      </w:r>
    </w:p>
    <w:p>
      <w:pPr>
        <w:pStyle w:val="2"/>
        <w:keepNext/>
        <w:pageBreakBefore/>
        <w:spacing w:before="300" w:after="120"/>
      </w:pPr>
      <w:r>
        <w:rPr>
          <w:rFonts w:ascii="Calibri" w:hAnsi="Calibri" w:eastAsia="Calibri" w:cs="Calibri"/>
          <w:b/>
          <w:bCs/>
          <w:color w:val="0F4C5C"/>
          <w:sz w:val="30"/>
          <w:szCs w:val="30"/>
        </w:rPr>
        <w:t>3. Общая схема</w:t>
      </w:r>
    </w:p>
    <w:p>
      <w:pPr>
        <w:spacing w:after="80"/>
        <w:jc w:val="center"/>
      </w:pPr>
      <w:bookmarkStart w:id="0" w:name="_GoBack"/>
      <w:r>
        <w:drawing>
          <wp:inline distT="0" distB="0" distL="0" distR="0">
            <wp:extent cx="4572000" cy="5962650"/>
            <wp:effectExtent l="0" t="0" r="0" b="6350"/>
            <wp:docPr id="1" name="arch" descr="Интерфейс в браузере читает файлы данных, которые готовят скрипты на Python через DuckDB из данных OpenStreetMap и конфига региона" title="Архитектура прототип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" descr="Интерфейс в браузере читает файлы данных, которые готовят скрипты на Python через DuckDB из данных OpenStreetMap и конфига региона" title="Архитектура прототипа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2"/>
        <w:keepNext/>
        <w:pageBreakBefore/>
        <w:spacing w:before="300" w:after="120"/>
      </w:pPr>
      <w:r>
        <w:rPr>
          <w:rFonts w:ascii="Calibri" w:hAnsi="Calibri" w:eastAsia="Calibri" w:cs="Calibri"/>
          <w:b/>
          <w:bCs/>
          <w:color w:val="0F4C5C"/>
          <w:sz w:val="30"/>
          <w:szCs w:val="30"/>
        </w:rPr>
        <w:t>4. Компоненты</w:t>
      </w:r>
    </w:p>
    <w:p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0F4C5C"/>
          <w:sz w:val="25"/>
          <w:szCs w:val="25"/>
        </w:rPr>
        <w:t>4.1. Интерфейс (SPA)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900"/>
        <w:gridCol w:w="3738"/>
      </w:tblGrid>
      <w:tr>
        <w:trPr>
          <w:tblHeader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Компонент</w:t>
            </w:r>
          </w:p>
        </w:tc>
        <w:tc>
          <w:tcPr>
            <w:tcW w:w="39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Задача</w:t>
            </w:r>
          </w:p>
        </w:tc>
        <w:tc>
          <w:tcPr>
            <w:tcW w:w="37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Технологии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Карта</w:t>
            </w:r>
          </w:p>
        </w:tc>
        <w:tc>
          <w:tcPr>
            <w:tcW w:w="39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Показывает объекты, связи и районы. Точки раскрашиваются по группе, толщина линий соответствует весу связи, районы закрашиваются по средней степени.</w:t>
            </w:r>
          </w:p>
        </w:tc>
        <w:tc>
          <w:tcPr>
            <w:tcW w:w="37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MapLibre или Leaflet, React, TypeScript, Vite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Слои</w:t>
            </w:r>
          </w:p>
        </w:tc>
        <w:tc>
          <w:tcPr>
            <w:tcW w:w="39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Включение и выключение слоёв, фильтр по домену и роли, выбор региона из подготовленных.</w:t>
            </w:r>
          </w:p>
        </w:tc>
        <w:tc>
          <w:tcPr>
            <w:tcW w:w="37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Состояние на клиенте, конфигурация слоёв в коде или JSON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Аналитика</w:t>
            </w:r>
          </w:p>
        </w:tc>
        <w:tc>
          <w:tcPr>
            <w:tcW w:w="39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Таблица метрик по районам и региону, пометка «мало данных», карточка выбранного объекта.</w:t>
            </w:r>
          </w:p>
        </w:tc>
        <w:tc>
          <w:tcPr>
            <w:tcW w:w="37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Чтение metrics.json</w:t>
            </w:r>
          </w:p>
        </w:tc>
      </w:tr>
    </w:tbl>
    <w:p>
      <w:pPr>
        <w:spacing w:after="80"/>
      </w:pPr>
    </w:p>
    <w:p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0F4C5C"/>
          <w:sz w:val="25"/>
          <w:szCs w:val="25"/>
        </w:rPr>
        <w:t>4.2. Подготовка данных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300"/>
        <w:gridCol w:w="3338"/>
      </w:tblGrid>
      <w:tr>
        <w:trPr>
          <w:tblHeader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Модуль</w:t>
            </w:r>
          </w:p>
        </w:tc>
        <w:tc>
          <w:tcPr>
            <w:tcW w:w="43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Задача</w:t>
            </w:r>
          </w:p>
        </w:tc>
        <w:tc>
          <w:tcPr>
            <w:tcW w:w="3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Вход и выход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Загрузчик</w:t>
            </w:r>
          </w:p>
        </w:tc>
        <w:tc>
          <w:tcPr>
            <w:tcW w:w="43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Запрашивает у OSM объекты региона по набору тегов и границы районов. Основной способ — Overpass API, запасной — файл .osm.pbf, разобранный через QuackOSM.</w:t>
            </w:r>
          </w:p>
        </w:tc>
        <w:tc>
          <w:tcPr>
            <w:tcW w:w="3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Вход: регион из конфига. Выход: таблицы raw_objects и districts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Классификатор</w:t>
            </w:r>
          </w:p>
        </w:tc>
        <w:tc>
          <w:tcPr>
            <w:tcW w:w="43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Определяет группу, домен и роль объекта по тегам. Правила хранятся в конфиге и применяются по порядку, побеждает первое подошедшее.</w:t>
            </w:r>
          </w:p>
        </w:tc>
        <w:tc>
          <w:tcPr>
            <w:tcW w:w="3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Вход: raw_objects. Выход: objects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Ёмкости</w:t>
            </w:r>
          </w:p>
        </w:tc>
        <w:tc>
          <w:tcPr>
            <w:tcW w:w="43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Оценивает ёмкость спроса и предложения по косвенным признакам: население, площадь здания, число объектов поблизости.</w:t>
            </w:r>
          </w:p>
        </w:tc>
        <w:tc>
          <w:tcPr>
            <w:tcW w:w="3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Вход: objects. Выход: capacities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Граф</w:t>
            </w:r>
          </w:p>
        </w:tc>
        <w:tc>
          <w:tcPr>
            <w:tcW w:w="43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Строит рёбра между стороной спроса и стороной предложения в пределах радиуса R и считает вес по модели Хаффа.</w:t>
            </w:r>
          </w:p>
        </w:tc>
        <w:tc>
          <w:tcPr>
            <w:tcW w:w="3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Вход: objects, capacities. Выход: edges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Метрики</w:t>
            </w:r>
          </w:p>
        </w:tc>
        <w:tc>
          <w:tcPr>
            <w:tcW w:w="43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Считает степень вершин, среднюю степень по районам и региону, ставит флаг «мало данных».</w:t>
            </w:r>
          </w:p>
        </w:tc>
        <w:tc>
          <w:tcPr>
            <w:tcW w:w="3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Вход: edges, objects, districts. Выход: metrics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Экспорт</w:t>
            </w:r>
          </w:p>
        </w:tc>
        <w:tc>
          <w:tcPr>
            <w:tcW w:w="43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Записывает слои и метрики в файлы для интерфейса.</w:t>
            </w:r>
          </w:p>
        </w:tc>
        <w:tc>
          <w:tcPr>
            <w:tcW w:w="33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Вход: таблицы DuckDB. Выход: GeoJSON и metrics.json</w:t>
            </w:r>
          </w:p>
        </w:tc>
      </w:tr>
    </w:tbl>
    <w:p>
      <w:pPr>
        <w:spacing w:after="80"/>
      </w:pPr>
    </w:p>
    <w:p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0F4C5C"/>
          <w:sz w:val="25"/>
          <w:szCs w:val="25"/>
        </w:rPr>
        <w:t>4.3. Хранилище (DuckDB)</w:t>
      </w:r>
    </w:p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Один файл базы без отдельного сервера. Используется расширение spatial для геофункций. Все модули подготовки читают и пишут таблицы в этом файле. Каждый модуль пересоздаёт свои таблицы целиком, поэтому повторный запуск даёт тот же результат на тех же входных данных.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438"/>
      </w:tblGrid>
      <w:tr>
        <w:trPr>
          <w:tblHeader/>
        </w:trPr>
        <w:tc>
          <w:tcPr>
            <w:tcW w:w="22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Таблица</w:t>
            </w:r>
          </w:p>
        </w:tc>
        <w:tc>
          <w:tcPr>
            <w:tcW w:w="74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Содержимое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raw_objects</w:t>
            </w:r>
          </w:p>
        </w:tc>
        <w:tc>
          <w:tcPr>
            <w:tcW w:w="74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Всё, что выгружено из OSM, как есть: идентификатор объекта, тип, координаты, теги целиком (JSON).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objects</w:t>
            </w:r>
          </w:p>
        </w:tc>
        <w:tc>
          <w:tcPr>
            <w:tcW w:w="74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Классифицированные объекты без дублей: группа, домен, роль, название, координаты.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capacities</w:t>
            </w:r>
          </w:p>
        </w:tc>
        <w:tc>
          <w:tcPr>
            <w:tcW w:w="74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Ёмкость и роль объекта в каждом домене.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edges</w:t>
            </w:r>
          </w:p>
        </w:tc>
        <w:tc>
          <w:tcPr>
            <w:tcW w:w="74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Рёбра: домен, от кого и к кому, расстояние, вес (доля спроса по Хаффу).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districts</w:t>
            </w:r>
          </w:p>
        </w:tc>
        <w:tc>
          <w:tcPr>
            <w:tcW w:w="74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Районы: название и полигон границы.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metrics</w:t>
            </w:r>
          </w:p>
        </w:tc>
        <w:tc>
          <w:tcPr>
            <w:tcW w:w="74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Число узлов и рёбер, средняя степень, флаг «мало данных» по районам и региону.</w:t>
            </w:r>
          </w:p>
        </w:tc>
      </w:tr>
    </w:tbl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Подробная схема таблиц и полей приведена в документе schema.md.</w:t>
      </w:r>
    </w:p>
    <w:p>
      <w:pPr>
        <w:spacing w:after="80"/>
      </w:pPr>
    </w:p>
    <w:p>
      <w:pPr>
        <w:pStyle w:val="3"/>
        <w:keepNext/>
        <w:spacing w:before="200" w:after="80"/>
      </w:pPr>
      <w:r>
        <w:rPr>
          <w:rFonts w:ascii="Calibri" w:hAnsi="Calibri" w:eastAsia="Calibri" w:cs="Calibri"/>
          <w:b/>
          <w:bCs/>
          <w:color w:val="0F4C5C"/>
          <w:sz w:val="25"/>
          <w:szCs w:val="25"/>
        </w:rPr>
        <w:t>4.4. Входные данные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OpenStreetMap: объекты по тегам и административные границы районов. Данные распространяются по лицензии ODbL, при показе нужно указывать авторов.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Конфиг региона (config/region.yaml): регион, правила тегов, радиус R и параметр β для каждого домена, порог «мало данных».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Открытые агрегированные данные (Росстат и другие): население и показатели для оценки ёмкостей. Состав источников уточняется.</w:t>
      </w:r>
    </w:p>
    <w:p>
      <w:pPr>
        <w:pStyle w:val="2"/>
        <w:keepNext/>
        <w:spacing w:before="300" w:after="120"/>
      </w:pPr>
      <w:r>
        <w:rPr>
          <w:rFonts w:ascii="Calibri" w:hAnsi="Calibri" w:eastAsia="Calibri" w:cs="Calibri"/>
          <w:b/>
          <w:bCs/>
          <w:color w:val="0F4C5C"/>
          <w:sz w:val="30"/>
          <w:szCs w:val="30"/>
        </w:rPr>
        <w:t>5. Поток данных</w:t>
      </w:r>
    </w:p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Весь сценарий запускается для одного региона, который указан в конфиге.</w:t>
      </w:r>
    </w:p>
    <w:p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Загрузчик запрашивает у OSM объекты региона и границы районов и записывает их в DuckDB.</w:t>
      </w:r>
    </w:p>
    <w:p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Классификатор присваивает каждому объекту группу, домен и роль по правилам тегов.</w:t>
      </w:r>
    </w:p>
    <w:p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Модуль ёмкостей оценивает спрос и предложение по косвенным признакам.</w:t>
      </w:r>
    </w:p>
    <w:p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Модуль графа строит рёбра внутри радиуса R и считает вес по формуле Хаффа.</w:t>
      </w:r>
    </w:p>
    <w:p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Модуль метрик считает среднюю степень по районам и региону.</w:t>
      </w:r>
    </w:p>
    <w:p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Экспорт записывает слои GeoJSON и metrics.json в папку frontend/public/data.</w:t>
      </w:r>
    </w:p>
    <w:p>
      <w:pPr>
        <w:pStyle w:val="16"/>
        <w:numPr>
          <w:ilvl w:val="0"/>
          <w:numId w:val="2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Интерфейс при открытии читает эти файлы через fetch и рисует карту. Переключение слоёв и фильтры работают на клиенте без обращения к базе.</w:t>
      </w:r>
    </w:p>
    <w:p>
      <w:pPr>
        <w:spacing w:after="80"/>
      </w:pPr>
    </w:p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Первая версия визуализации использует только шаги 1 и 2: на карте показываются классифицированные объекты. Рёбра и метрики подключаются по мере готовности модулей.</w:t>
      </w:r>
    </w:p>
    <w:p>
      <w:pPr>
        <w:pStyle w:val="2"/>
        <w:keepNext/>
        <w:spacing w:before="300" w:after="120"/>
      </w:pPr>
      <w:r>
        <w:rPr>
          <w:rFonts w:hint="default" w:cs="Calibri"/>
          <w:b/>
          <w:bCs/>
          <w:color w:val="0F4C5C"/>
          <w:sz w:val="30"/>
          <w:szCs w:val="30"/>
          <w:lang w:val="ru-RU"/>
        </w:rPr>
        <w:t>6</w:t>
      </w:r>
      <w:r>
        <w:rPr>
          <w:rFonts w:ascii="Calibri" w:hAnsi="Calibri" w:eastAsia="Calibri" w:cs="Calibri"/>
          <w:b/>
          <w:bCs/>
          <w:color w:val="0F4C5C"/>
          <w:sz w:val="30"/>
          <w:szCs w:val="30"/>
        </w:rPr>
        <w:t>. Модель связей</w:t>
      </w:r>
    </w:p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Вес ребра считается по модели Хаффа. Он равен доле спроса узла i, которая достаётся объекту j:</w:t>
      </w:r>
    </w:p>
    <w:p>
      <w:pPr>
        <w:spacing w:before="60" w:after="120"/>
        <w:jc w:val="center"/>
      </w:pPr>
      <w:r>
        <w:rPr>
          <w:rFonts w:ascii="Consolas" w:hAnsi="Consolas" w:eastAsia="Consolas" w:cs="Consolas"/>
          <w:color w:val="12303A"/>
          <w:sz w:val="22"/>
          <w:szCs w:val="22"/>
        </w:rPr>
        <w:t>w(i, j) = S_j · d_ij^(−β) / Σ_k ( S_k · d_ik^(−β) )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S_j — ёмкость объекта со стороны предложения, d_ij — расстояние между объектами.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Ребро строится, только если расстояние не больше радиуса R. Сумма идёт по объектам внутри этого радиуса.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Для каждого узла со стороны спроса веса исходящих рёбер дают в сумме 1.</w:t>
      </w:r>
    </w:p>
    <w:p>
      <w:pPr>
        <w:pStyle w:val="16"/>
        <w:numPr>
          <w:ilvl w:val="0"/>
          <w:numId w:val="1"/>
        </w:numPr>
        <w:spacing w:after="7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R и β задаются для каждого домена в конфиге.</w:t>
      </w:r>
    </w:p>
    <w:p>
      <w:pPr>
        <w:spacing w:after="120" w:line="276" w:lineRule="auto"/>
      </w:pPr>
      <w:r>
        <w:rPr>
          <w:rFonts w:ascii="Calibri" w:hAnsi="Calibri" w:eastAsia="Calibri" w:cs="Calibri"/>
          <w:color w:val="12303A"/>
          <w:sz w:val="22"/>
          <w:szCs w:val="22"/>
        </w:rPr>
        <w:t>Средняя степень района равна сумме степеней его узлов, делённой на число узлов. Ребро учитывается в степени обоих концов. Если в районе меньше узлов, чем порог в конфиге, метрика помечается как ненадёжная.</w:t>
      </w:r>
    </w:p>
    <w:p>
      <w:pPr>
        <w:pStyle w:val="2"/>
        <w:keepNext/>
        <w:spacing w:before="300" w:after="120"/>
      </w:pPr>
      <w:r>
        <w:rPr>
          <w:rFonts w:hint="default" w:cs="Calibri"/>
          <w:b/>
          <w:bCs/>
          <w:color w:val="0F4C5C"/>
          <w:sz w:val="30"/>
          <w:szCs w:val="30"/>
          <w:lang w:val="ru-RU"/>
        </w:rPr>
        <w:t>7</w:t>
      </w:r>
      <w:r>
        <w:rPr>
          <w:rFonts w:ascii="Calibri" w:hAnsi="Calibri" w:eastAsia="Calibri" w:cs="Calibri"/>
          <w:b/>
          <w:bCs/>
          <w:color w:val="0F4C5C"/>
          <w:sz w:val="30"/>
          <w:szCs w:val="30"/>
        </w:rPr>
        <w:t>. Технологический стек</w:t>
      </w: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638"/>
      </w:tblGrid>
      <w:tr>
        <w:trPr>
          <w:tblHeader/>
        </w:trPr>
        <w:tc>
          <w:tcPr>
            <w:tcW w:w="3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Часть</w:t>
            </w:r>
          </w:p>
        </w:tc>
        <w:tc>
          <w:tcPr>
            <w:tcW w:w="66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shd w:val="clear" w:color="auto" w:fill="DCE9E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/>
                <w:bCs/>
                <w:color w:val="12303A"/>
                <w:sz w:val="20"/>
                <w:szCs w:val="20"/>
              </w:rPr>
              <w:t>Технологии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Интерфейс</w:t>
            </w:r>
          </w:p>
        </w:tc>
        <w:tc>
          <w:tcPr>
            <w:tcW w:w="66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React, TypeScript, Vite; карта на Leaflet или MapLibre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Подготовка данных</w:t>
            </w:r>
          </w:p>
        </w:tc>
        <w:tc>
          <w:tcPr>
            <w:tcW w:w="66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Python; DuckDB с расширением spatial; shapely для геометрии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Источники OSM</w:t>
            </w:r>
          </w:p>
        </w:tc>
        <w:tc>
          <w:tcPr>
            <w:tcW w:w="66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Overpass API; запасной вариант — файлы Geofabrik и QuackOSM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Формат обмена</w:t>
            </w:r>
          </w:p>
        </w:tc>
        <w:tc>
          <w:tcPr>
            <w:tcW w:w="66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GeoJSON и JSON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Конфигурация</w:t>
            </w:r>
          </w:p>
        </w:tc>
        <w:tc>
          <w:tcPr>
            <w:tcW w:w="6638" w:type="dxa"/>
            <w:tcBorders>
              <w:top w:val="single" w:color="C5D0D3" w:sz="4" w:space="0"/>
              <w:left w:val="single" w:color="C5D0D3" w:sz="4" w:space="0"/>
              <w:bottom w:val="single" w:color="C5D0D3" w:sz="4" w:space="0"/>
              <w:right w:val="single" w:color="C5D0D3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Calibri" w:hAnsi="Calibri" w:eastAsia="Calibri" w:cs="Calibri"/>
                <w:b w:val="0"/>
                <w:bCs w:val="0"/>
                <w:color w:val="12303A"/>
                <w:sz w:val="20"/>
                <w:szCs w:val="20"/>
              </w:rPr>
              <w:t>YAML</w:t>
            </w:r>
          </w:p>
        </w:tc>
      </w:tr>
    </w:tbl>
    <w:p>
      <w:pPr>
        <w:pStyle w:val="16"/>
        <w:numPr>
          <w:numId w:val="0"/>
        </w:numPr>
        <w:spacing w:after="70" w:line="276" w:lineRule="auto"/>
      </w:pP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6CB98"/>
    <w:multiLevelType w:val="singleLevel"/>
    <w:tmpl w:val="3E26CB98"/>
    <w:lvl w:ilvl="0" w:tentative="0">
      <w:start w:val="1"/>
      <w:numFmt w:val="bullet"/>
      <w:lvlText w:val="•"/>
      <w:lvlJc w:val="left"/>
      <w:pPr>
        <w:ind w:left="540" w:hanging="270"/>
      </w:pPr>
    </w:lvl>
  </w:abstractNum>
  <w:abstractNum w:abstractNumId="1">
    <w:nsid w:val="77826951"/>
    <w:multiLevelType w:val="singleLevel"/>
    <w:tmpl w:val="77826951"/>
    <w:lvl w:ilvl="0" w:tentative="0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FD3BEB8"/>
    <w:rsid w:val="F7B6AEBC"/>
    <w:rsid w:val="FED3AE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Office_4.9.0.7859_F1E327BC-269C-435d-A152-05C5408002CA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MariaIlicheva</cp:lastModifiedBy>
  <dcterms:modified xsi:type="dcterms:W3CDTF">2026-10-26T21:06:02Z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1033-4.9.0.7859</vt:lpwstr>
  </property>
</Properties>
</file>