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46166E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46166E">
              <w:t>Ввод цифр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E75480">
              <w:t>72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 w:rsidR="00E75480" w:rsidRPr="00E75480">
              <w:t>Фамилия, имя и отчество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E75480" w:rsidRDefault="003A7929" w:rsidP="0046166E">
            <w:r>
              <w:t xml:space="preserve">В </w:t>
            </w:r>
            <w:r w:rsidR="009661BA">
              <w:t>пол</w:t>
            </w:r>
            <w:r>
              <w:t>е</w:t>
            </w:r>
            <w:r w:rsidR="00E75480">
              <w:t xml:space="preserve"> </w:t>
            </w:r>
            <w:r w:rsidR="00E75480" w:rsidRPr="00E75480">
              <w:t>“Фамилия, имя и отчество</w:t>
            </w:r>
            <w:r w:rsidR="00BC5813" w:rsidRPr="00BC5813">
              <w:t>”</w:t>
            </w:r>
            <w:r>
              <w:t xml:space="preserve"> ввести </w:t>
            </w:r>
            <w:r w:rsidR="0046166E">
              <w:t>цифры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ED7C24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5107A7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C5813"/>
    <w:rsid w:val="00C907CC"/>
    <w:rsid w:val="00CF5B2C"/>
    <w:rsid w:val="00E072D2"/>
    <w:rsid w:val="00E75480"/>
    <w:rsid w:val="00E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2019-02-17T11:14:00Z</dcterms:modified>
</cp:coreProperties>
</file>