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7B5E73" w14:textId="77777777" w:rsidR="00B923BC" w:rsidRDefault="00B923BC" w:rsidP="00B923BC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31E33E2A" w14:textId="77777777" w:rsidR="00B923BC" w:rsidRDefault="00B923BC" w:rsidP="00B923BC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75D4A9AC" w14:textId="77777777" w:rsidR="00B923BC" w:rsidRDefault="00B923BC" w:rsidP="00B923BC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7A7E1235" w14:textId="77777777" w:rsidR="00B923BC" w:rsidRDefault="00B923BC" w:rsidP="00B923BC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518D7CA8" w14:textId="77777777" w:rsidR="00B923BC" w:rsidRDefault="00B923BC" w:rsidP="00B923BC">
      <w:pPr>
        <w:pStyle w:val="a4"/>
        <w:spacing w:line="276" w:lineRule="auto"/>
        <w:rPr>
          <w:sz w:val="24"/>
          <w:szCs w:val="24"/>
        </w:rPr>
      </w:pPr>
    </w:p>
    <w:p w14:paraId="3BF4072F" w14:textId="77777777" w:rsidR="00B923BC" w:rsidRDefault="00B923BC" w:rsidP="00B923BC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1BC45ADC" w14:textId="77777777" w:rsidR="00B923BC" w:rsidRDefault="00B923BC" w:rsidP="00B923BC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56DE7A05" w14:textId="77777777" w:rsidR="00B923BC" w:rsidRDefault="00B923BC" w:rsidP="00B923BC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2FFBF253" w14:textId="77777777" w:rsidR="00B923BC" w:rsidRDefault="00B923BC" w:rsidP="00B923BC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6F8C3231" w14:textId="77777777" w:rsidR="00B923BC" w:rsidRDefault="00B923BC" w:rsidP="00B923BC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706E6C0C" w14:textId="77777777" w:rsidR="00B923BC" w:rsidRDefault="00B923BC" w:rsidP="00B923BC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5733F814" w14:textId="77777777" w:rsidR="00B923BC" w:rsidRDefault="00B923BC" w:rsidP="00B923BC">
      <w:pPr>
        <w:spacing w:line="276" w:lineRule="auto"/>
        <w:jc w:val="both"/>
        <w:rPr>
          <w:rStyle w:val="FontStyle15"/>
        </w:rPr>
      </w:pPr>
    </w:p>
    <w:p w14:paraId="7FC0EA82" w14:textId="77777777" w:rsidR="00B923BC" w:rsidRDefault="00B923BC" w:rsidP="00B923BC">
      <w:pPr>
        <w:spacing w:line="276" w:lineRule="auto"/>
        <w:jc w:val="both"/>
        <w:rPr>
          <w:rStyle w:val="FontStyle15"/>
        </w:rPr>
      </w:pPr>
    </w:p>
    <w:p w14:paraId="26F175DD" w14:textId="77777777" w:rsidR="00B923BC" w:rsidRDefault="00B923BC" w:rsidP="00B923BC">
      <w:pPr>
        <w:spacing w:line="276" w:lineRule="auto"/>
        <w:jc w:val="both"/>
        <w:rPr>
          <w:rStyle w:val="FontStyle15"/>
        </w:rPr>
      </w:pPr>
    </w:p>
    <w:p w14:paraId="184363D9" w14:textId="574F58F2" w:rsidR="00B923BC" w:rsidRDefault="00B923BC" w:rsidP="00B923BC">
      <w:pPr>
        <w:spacing w:line="276" w:lineRule="auto"/>
        <w:jc w:val="center"/>
        <w:rPr>
          <w:b/>
          <w:bCs/>
        </w:rPr>
      </w:pPr>
      <w:r>
        <w:rPr>
          <w:b/>
          <w:bCs/>
        </w:rPr>
        <w:t>РЕФЕРАТ</w:t>
      </w:r>
    </w:p>
    <w:p w14:paraId="1A140FD6" w14:textId="1A066EE7" w:rsidR="00B923BC" w:rsidRPr="00B923BC" w:rsidRDefault="00B923BC" w:rsidP="00B923BC">
      <w:pPr>
        <w:pStyle w:val="a4"/>
        <w:spacing w:line="276" w:lineRule="auto"/>
        <w:ind w:left="-142" w:right="-108"/>
        <w:rPr>
          <w:bCs/>
          <w:sz w:val="24"/>
          <w:szCs w:val="24"/>
          <w:u w:val="none"/>
          <w:lang w:val="en-US"/>
        </w:rPr>
      </w:pPr>
      <w:r w:rsidRPr="00B923BC">
        <w:rPr>
          <w:bCs/>
          <w:sz w:val="24"/>
          <w:szCs w:val="24"/>
          <w:u w:val="none"/>
        </w:rPr>
        <w:t xml:space="preserve">на тему: Возникновение и развитие отечественного делопроизводства. </w:t>
      </w:r>
      <w:r w:rsidRPr="00B923BC">
        <w:rPr>
          <w:bCs/>
          <w:sz w:val="24"/>
          <w:szCs w:val="24"/>
          <w:u w:val="none"/>
          <w:lang w:val="en-US"/>
        </w:rPr>
        <w:t>Особенности ведения делопроизводства на современном этапе развития информационных технологий</w:t>
      </w:r>
    </w:p>
    <w:p w14:paraId="6C5A3706" w14:textId="77777777" w:rsidR="00B923BC" w:rsidRDefault="00B923BC" w:rsidP="00B923BC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7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B923BC" w14:paraId="6EBA04E5" w14:textId="77777777" w:rsidTr="00236F7F">
        <w:tc>
          <w:tcPr>
            <w:tcW w:w="2660" w:type="dxa"/>
            <w:hideMark/>
          </w:tcPr>
          <w:p w14:paraId="5BFDCE0D" w14:textId="77777777" w:rsidR="00B923BC" w:rsidRDefault="00B923BC" w:rsidP="00236F7F">
            <w:pPr>
              <w:pStyle w:val="a4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32D69FB7" w14:textId="77777777" w:rsidR="00B923BC" w:rsidRDefault="00B923BC" w:rsidP="00236F7F">
            <w:pPr>
              <w:pStyle w:val="a4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B923BC" w14:paraId="1B19DE30" w14:textId="77777777" w:rsidTr="00236F7F">
        <w:tc>
          <w:tcPr>
            <w:tcW w:w="2660" w:type="dxa"/>
          </w:tcPr>
          <w:p w14:paraId="715AC817" w14:textId="77777777" w:rsidR="00B923BC" w:rsidRDefault="00B923BC" w:rsidP="00236F7F">
            <w:pPr>
              <w:pStyle w:val="a4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42BB00C8" w14:textId="77777777" w:rsidR="00B923BC" w:rsidRDefault="00B923BC" w:rsidP="00236F7F">
            <w:pPr>
              <w:pStyle w:val="a4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B923BC" w14:paraId="7F4F6FB5" w14:textId="77777777" w:rsidTr="00236F7F">
        <w:tc>
          <w:tcPr>
            <w:tcW w:w="2660" w:type="dxa"/>
          </w:tcPr>
          <w:p w14:paraId="4A6D8FA2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682C1C88" w14:textId="77777777" w:rsidR="00B923BC" w:rsidRDefault="00B923BC" w:rsidP="00236F7F">
            <w:pPr>
              <w:pStyle w:val="a4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B923BC" w14:paraId="5D02BE9D" w14:textId="77777777" w:rsidTr="00236F7F">
        <w:tc>
          <w:tcPr>
            <w:tcW w:w="2660" w:type="dxa"/>
          </w:tcPr>
          <w:p w14:paraId="257D7EF2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A7BDE0F" w14:textId="77777777" w:rsidR="00B923BC" w:rsidRDefault="00B923BC" w:rsidP="00236F7F">
            <w:pPr>
              <w:pStyle w:val="a4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2DF2A6F6" w14:textId="77777777" w:rsidR="00B923BC" w:rsidRDefault="00B923BC" w:rsidP="00B923BC">
      <w:pPr>
        <w:pStyle w:val="a4"/>
        <w:spacing w:line="276" w:lineRule="auto"/>
        <w:jc w:val="left"/>
        <w:rPr>
          <w:sz w:val="24"/>
          <w:szCs w:val="24"/>
        </w:rPr>
      </w:pPr>
    </w:p>
    <w:tbl>
      <w:tblPr>
        <w:tblStyle w:val="a7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B923BC" w14:paraId="023B1529" w14:textId="77777777" w:rsidTr="00236F7F">
        <w:tc>
          <w:tcPr>
            <w:tcW w:w="4803" w:type="dxa"/>
          </w:tcPr>
          <w:p w14:paraId="50FBF638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6D21ADCA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40150A5B" w14:textId="77777777" w:rsidR="00B923BC" w:rsidRDefault="00B923BC" w:rsidP="00236F7F">
            <w:pPr>
              <w:pStyle w:val="a4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B923BC" w14:paraId="418C2CCD" w14:textId="77777777" w:rsidTr="00236F7F">
        <w:tc>
          <w:tcPr>
            <w:tcW w:w="4803" w:type="dxa"/>
          </w:tcPr>
          <w:p w14:paraId="2FA7800A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47E7D7AD" w14:textId="77777777" w:rsidR="00B923BC" w:rsidRDefault="00B923BC" w:rsidP="00236F7F">
            <w:pPr>
              <w:pStyle w:val="a4"/>
              <w:spacing w:line="276" w:lineRule="auto"/>
            </w:pPr>
          </w:p>
        </w:tc>
        <w:tc>
          <w:tcPr>
            <w:tcW w:w="5386" w:type="dxa"/>
            <w:hideMark/>
          </w:tcPr>
          <w:p w14:paraId="2449E2BD" w14:textId="2409050F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</w:t>
            </w:r>
            <w:r w:rsidR="00345FC7"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731</w:t>
            </w:r>
          </w:p>
        </w:tc>
      </w:tr>
      <w:tr w:rsidR="00B923BC" w14:paraId="42B6CDA2" w14:textId="77777777" w:rsidTr="00236F7F">
        <w:tc>
          <w:tcPr>
            <w:tcW w:w="4803" w:type="dxa"/>
          </w:tcPr>
          <w:p w14:paraId="399F7A88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362C86E1" w14:textId="77777777" w:rsidR="00B923BC" w:rsidRDefault="00B923BC" w:rsidP="00236F7F">
            <w:pPr>
              <w:pStyle w:val="a4"/>
              <w:spacing w:line="276" w:lineRule="auto"/>
            </w:pPr>
          </w:p>
        </w:tc>
        <w:tc>
          <w:tcPr>
            <w:tcW w:w="5386" w:type="dxa"/>
            <w:hideMark/>
          </w:tcPr>
          <w:p w14:paraId="653F268D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B923BC" w14:paraId="60CCF602" w14:textId="77777777" w:rsidTr="00236F7F">
        <w:tc>
          <w:tcPr>
            <w:tcW w:w="4803" w:type="dxa"/>
          </w:tcPr>
          <w:p w14:paraId="79FB9498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438075C4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232C56F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B923BC" w14:paraId="5223FEF7" w14:textId="77777777" w:rsidTr="00236F7F">
        <w:tc>
          <w:tcPr>
            <w:tcW w:w="4803" w:type="dxa"/>
          </w:tcPr>
          <w:p w14:paraId="32069DE4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42E414A3" w14:textId="77777777" w:rsidR="00B923BC" w:rsidRDefault="00B923BC" w:rsidP="00236F7F">
            <w:pPr>
              <w:pStyle w:val="a4"/>
              <w:spacing w:line="276" w:lineRule="auto"/>
            </w:pPr>
          </w:p>
        </w:tc>
        <w:tc>
          <w:tcPr>
            <w:tcW w:w="5386" w:type="dxa"/>
            <w:hideMark/>
          </w:tcPr>
          <w:p w14:paraId="42F87EC4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B923BC" w14:paraId="13941C63" w14:textId="77777777" w:rsidTr="00236F7F">
        <w:tc>
          <w:tcPr>
            <w:tcW w:w="4803" w:type="dxa"/>
          </w:tcPr>
          <w:p w14:paraId="49F93ACC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7951819E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46E67E9D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B923BC" w14:paraId="63F663E9" w14:textId="77777777" w:rsidTr="00236F7F">
        <w:tc>
          <w:tcPr>
            <w:tcW w:w="4803" w:type="dxa"/>
          </w:tcPr>
          <w:p w14:paraId="3411C327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28788A0F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3552197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</w:tr>
      <w:tr w:rsidR="00B923BC" w14:paraId="10196B7A" w14:textId="77777777" w:rsidTr="00236F7F">
        <w:tc>
          <w:tcPr>
            <w:tcW w:w="4803" w:type="dxa"/>
          </w:tcPr>
          <w:p w14:paraId="7E63DB79" w14:textId="77777777" w:rsidR="00B923BC" w:rsidRDefault="00B923BC" w:rsidP="00236F7F">
            <w:pPr>
              <w:pStyle w:val="a4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57E7BE7F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7083EC9E" w14:textId="77777777" w:rsidR="00B923BC" w:rsidRDefault="00B923BC" w:rsidP="00236F7F">
            <w:pPr>
              <w:pStyle w:val="a4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B923BC" w14:paraId="148583A7" w14:textId="77777777" w:rsidTr="00236F7F">
        <w:tc>
          <w:tcPr>
            <w:tcW w:w="4803" w:type="dxa"/>
          </w:tcPr>
          <w:p w14:paraId="3A3CE762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4D85800E" w14:textId="77777777" w:rsidR="00B923BC" w:rsidRDefault="00B923BC" w:rsidP="00236F7F">
            <w:pPr>
              <w:pStyle w:val="a4"/>
              <w:spacing w:line="276" w:lineRule="auto"/>
            </w:pPr>
          </w:p>
        </w:tc>
        <w:tc>
          <w:tcPr>
            <w:tcW w:w="5386" w:type="dxa"/>
          </w:tcPr>
          <w:p w14:paraId="158E70AE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B923BC" w14:paraId="3CBC8F4C" w14:textId="77777777" w:rsidTr="00236F7F">
        <w:tc>
          <w:tcPr>
            <w:tcW w:w="4803" w:type="dxa"/>
          </w:tcPr>
          <w:p w14:paraId="6118593C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7E243C25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4F24401E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B923BC" w14:paraId="02B70B82" w14:textId="77777777" w:rsidTr="00236F7F">
        <w:tc>
          <w:tcPr>
            <w:tcW w:w="4803" w:type="dxa"/>
          </w:tcPr>
          <w:p w14:paraId="28D22CA1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2206E40C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7D6765BD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B923BC" w14:paraId="4740F943" w14:textId="77777777" w:rsidTr="00236F7F">
        <w:tc>
          <w:tcPr>
            <w:tcW w:w="4803" w:type="dxa"/>
          </w:tcPr>
          <w:p w14:paraId="434139D7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3854CF1D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289A6C7E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B923BC" w14:paraId="7BF122FD" w14:textId="77777777" w:rsidTr="00236F7F">
        <w:tc>
          <w:tcPr>
            <w:tcW w:w="4803" w:type="dxa"/>
          </w:tcPr>
          <w:p w14:paraId="22A750DD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7D5F9BE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36DA9E21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B923BC" w14:paraId="3F669596" w14:textId="77777777" w:rsidTr="00236F7F">
        <w:tc>
          <w:tcPr>
            <w:tcW w:w="4803" w:type="dxa"/>
          </w:tcPr>
          <w:p w14:paraId="6CD83D4B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3EB449FA" w14:textId="77777777" w:rsidR="00B923BC" w:rsidRDefault="00B923BC" w:rsidP="00236F7F">
            <w:pPr>
              <w:pStyle w:val="a4"/>
              <w:spacing w:line="276" w:lineRule="auto"/>
            </w:pPr>
          </w:p>
        </w:tc>
        <w:tc>
          <w:tcPr>
            <w:tcW w:w="5386" w:type="dxa"/>
            <w:hideMark/>
          </w:tcPr>
          <w:p w14:paraId="2586CCAB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B923BC" w14:paraId="520681B0" w14:textId="77777777" w:rsidTr="00236F7F">
        <w:tc>
          <w:tcPr>
            <w:tcW w:w="4803" w:type="dxa"/>
          </w:tcPr>
          <w:p w14:paraId="5D8570AF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6340D791" w14:textId="77777777" w:rsidR="00B923BC" w:rsidRDefault="00B923BC" w:rsidP="00236F7F">
            <w:pPr>
              <w:pStyle w:val="a4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499AC864" w14:textId="77777777" w:rsidR="00B923BC" w:rsidRDefault="00B923BC" w:rsidP="00236F7F">
            <w:pPr>
              <w:pStyle w:val="a6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5EAA2337" w14:textId="77777777" w:rsidR="00B923BC" w:rsidRDefault="00B923BC" w:rsidP="00B923BC">
      <w:pPr>
        <w:pStyle w:val="21"/>
        <w:spacing w:after="0" w:line="276" w:lineRule="auto"/>
        <w:jc w:val="center"/>
      </w:pPr>
    </w:p>
    <w:p w14:paraId="4015CC7F" w14:textId="77777777" w:rsidR="00B923BC" w:rsidRDefault="00B923BC" w:rsidP="00B923BC">
      <w:pPr>
        <w:pStyle w:val="21"/>
        <w:spacing w:after="0" w:line="276" w:lineRule="auto"/>
        <w:jc w:val="center"/>
      </w:pPr>
    </w:p>
    <w:p w14:paraId="1F5303F9" w14:textId="77777777" w:rsidR="00B923BC" w:rsidRDefault="00B923BC" w:rsidP="00B923BC">
      <w:pPr>
        <w:pStyle w:val="21"/>
        <w:spacing w:after="0" w:line="276" w:lineRule="auto"/>
        <w:jc w:val="center"/>
        <w:rPr>
          <w:lang w:val="en-US"/>
        </w:rPr>
      </w:pPr>
    </w:p>
    <w:p w14:paraId="4ECC2725" w14:textId="77777777" w:rsidR="00B923BC" w:rsidRDefault="00B923BC" w:rsidP="00B923BC">
      <w:pPr>
        <w:pStyle w:val="21"/>
        <w:spacing w:after="0" w:line="276" w:lineRule="auto"/>
        <w:jc w:val="center"/>
      </w:pPr>
    </w:p>
    <w:p w14:paraId="09069F6B" w14:textId="77777777" w:rsidR="00B923BC" w:rsidRDefault="00B923BC" w:rsidP="00B923BC">
      <w:pPr>
        <w:pStyle w:val="21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</w:t>
      </w:r>
      <w:r>
        <w:rPr>
          <w:lang w:val="en-US"/>
        </w:rPr>
        <w:t>6</w:t>
      </w:r>
      <w:r>
        <w:t xml:space="preserve"> г.</w:t>
      </w:r>
      <w:bookmarkEnd w:id="0"/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39945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84A8A8" w14:textId="7835A670" w:rsidR="003259A5" w:rsidRDefault="003259A5" w:rsidP="003259A5">
          <w:pPr>
            <w:pStyle w:val="ab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259A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D3F1970" w14:textId="77777777" w:rsidR="003259A5" w:rsidRPr="003259A5" w:rsidRDefault="003259A5" w:rsidP="003259A5"/>
        <w:p w14:paraId="5EEC829B" w14:textId="08C0F377" w:rsidR="002C4A92" w:rsidRPr="002C4A92" w:rsidRDefault="003259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r w:rsidRPr="003259A5">
            <w:rPr>
              <w:color w:val="000000" w:themeColor="text1"/>
              <w:sz w:val="28"/>
              <w:szCs w:val="28"/>
            </w:rPr>
            <w:fldChar w:fldCharType="begin"/>
          </w:r>
          <w:r w:rsidRPr="003259A5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259A5">
            <w:rPr>
              <w:color w:val="000000" w:themeColor="text1"/>
              <w:sz w:val="28"/>
              <w:szCs w:val="28"/>
            </w:rPr>
            <w:fldChar w:fldCharType="separate"/>
          </w:r>
          <w:hyperlink w:anchor="_Toc223947165" w:history="1">
            <w:r w:rsidR="002C4A92" w:rsidRPr="002C4A92">
              <w:rPr>
                <w:rStyle w:val="a8"/>
                <w:noProof/>
                <w:sz w:val="28"/>
                <w:szCs w:val="28"/>
              </w:rPr>
              <w:t>Исполнительная аннотация</w:t>
            </w:r>
            <w:r w:rsidR="002C4A92" w:rsidRPr="002C4A92">
              <w:rPr>
                <w:noProof/>
                <w:webHidden/>
                <w:sz w:val="28"/>
                <w:szCs w:val="28"/>
              </w:rPr>
              <w:tab/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begin"/>
            </w:r>
            <w:r w:rsidR="002C4A92" w:rsidRPr="002C4A92">
              <w:rPr>
                <w:noProof/>
                <w:webHidden/>
                <w:sz w:val="28"/>
                <w:szCs w:val="28"/>
              </w:rPr>
              <w:instrText xml:space="preserve"> PAGEREF _Toc223947165 \h </w:instrText>
            </w:r>
            <w:r w:rsidR="002C4A92" w:rsidRPr="002C4A92">
              <w:rPr>
                <w:noProof/>
                <w:webHidden/>
                <w:sz w:val="28"/>
                <w:szCs w:val="28"/>
              </w:rPr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C4A92" w:rsidRPr="002C4A92">
              <w:rPr>
                <w:noProof/>
                <w:webHidden/>
                <w:sz w:val="28"/>
                <w:szCs w:val="28"/>
              </w:rPr>
              <w:t>3</w:t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5B533E" w14:textId="2DFCF08D" w:rsidR="002C4A92" w:rsidRPr="002C4A92" w:rsidRDefault="009326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947166" w:history="1">
            <w:r w:rsidR="002C4A92" w:rsidRPr="002C4A92">
              <w:rPr>
                <w:rStyle w:val="a8"/>
                <w:noProof/>
                <w:sz w:val="28"/>
                <w:szCs w:val="28"/>
              </w:rPr>
              <w:t>Введение</w:t>
            </w:r>
            <w:r w:rsidR="002C4A92" w:rsidRPr="002C4A92">
              <w:rPr>
                <w:noProof/>
                <w:webHidden/>
                <w:sz w:val="28"/>
                <w:szCs w:val="28"/>
              </w:rPr>
              <w:tab/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begin"/>
            </w:r>
            <w:r w:rsidR="002C4A92" w:rsidRPr="002C4A92">
              <w:rPr>
                <w:noProof/>
                <w:webHidden/>
                <w:sz w:val="28"/>
                <w:szCs w:val="28"/>
              </w:rPr>
              <w:instrText xml:space="preserve"> PAGEREF _Toc223947166 \h </w:instrText>
            </w:r>
            <w:r w:rsidR="002C4A92" w:rsidRPr="002C4A92">
              <w:rPr>
                <w:noProof/>
                <w:webHidden/>
                <w:sz w:val="28"/>
                <w:szCs w:val="28"/>
              </w:rPr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C4A92" w:rsidRPr="002C4A92">
              <w:rPr>
                <w:noProof/>
                <w:webHidden/>
                <w:sz w:val="28"/>
                <w:szCs w:val="28"/>
              </w:rPr>
              <w:t>4</w:t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550AE" w14:textId="2EEAE684" w:rsidR="002C4A92" w:rsidRPr="002C4A92" w:rsidRDefault="009326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947167" w:history="1">
            <w:r w:rsidR="002C4A92" w:rsidRPr="002C4A92">
              <w:rPr>
                <w:rStyle w:val="a8"/>
                <w:noProof/>
                <w:sz w:val="28"/>
                <w:szCs w:val="28"/>
              </w:rPr>
              <w:t>Исторический обзор</w:t>
            </w:r>
            <w:r w:rsidR="002C4A92" w:rsidRPr="002C4A92">
              <w:rPr>
                <w:noProof/>
                <w:webHidden/>
                <w:sz w:val="28"/>
                <w:szCs w:val="28"/>
              </w:rPr>
              <w:tab/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begin"/>
            </w:r>
            <w:r w:rsidR="002C4A92" w:rsidRPr="002C4A92">
              <w:rPr>
                <w:noProof/>
                <w:webHidden/>
                <w:sz w:val="28"/>
                <w:szCs w:val="28"/>
              </w:rPr>
              <w:instrText xml:space="preserve"> PAGEREF _Toc223947167 \h </w:instrText>
            </w:r>
            <w:r w:rsidR="002C4A92" w:rsidRPr="002C4A92">
              <w:rPr>
                <w:noProof/>
                <w:webHidden/>
                <w:sz w:val="28"/>
                <w:szCs w:val="28"/>
              </w:rPr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C4A92" w:rsidRPr="002C4A92">
              <w:rPr>
                <w:noProof/>
                <w:webHidden/>
                <w:sz w:val="28"/>
                <w:szCs w:val="28"/>
              </w:rPr>
              <w:t>5</w:t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451747" w14:textId="61EE8989" w:rsidR="002C4A92" w:rsidRPr="002C4A92" w:rsidRDefault="009326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947168" w:history="1">
            <w:r w:rsidR="002C4A92" w:rsidRPr="002C4A92">
              <w:rPr>
                <w:rStyle w:val="a8"/>
                <w:noProof/>
                <w:sz w:val="28"/>
                <w:szCs w:val="28"/>
              </w:rPr>
              <w:t>Нормативно‑правовая база РФ</w:t>
            </w:r>
            <w:r w:rsidR="002C4A92" w:rsidRPr="002C4A92">
              <w:rPr>
                <w:noProof/>
                <w:webHidden/>
                <w:sz w:val="28"/>
                <w:szCs w:val="28"/>
              </w:rPr>
              <w:tab/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begin"/>
            </w:r>
            <w:r w:rsidR="002C4A92" w:rsidRPr="002C4A92">
              <w:rPr>
                <w:noProof/>
                <w:webHidden/>
                <w:sz w:val="28"/>
                <w:szCs w:val="28"/>
              </w:rPr>
              <w:instrText xml:space="preserve"> PAGEREF _Toc223947168 \h </w:instrText>
            </w:r>
            <w:r w:rsidR="002C4A92" w:rsidRPr="002C4A92">
              <w:rPr>
                <w:noProof/>
                <w:webHidden/>
                <w:sz w:val="28"/>
                <w:szCs w:val="28"/>
              </w:rPr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C4A92" w:rsidRPr="002C4A92">
              <w:rPr>
                <w:noProof/>
                <w:webHidden/>
                <w:sz w:val="28"/>
                <w:szCs w:val="28"/>
              </w:rPr>
              <w:t>8</w:t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AC035" w14:textId="08A72364" w:rsidR="002C4A92" w:rsidRPr="002C4A92" w:rsidRDefault="009326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947169" w:history="1">
            <w:r w:rsidR="002C4A92" w:rsidRPr="002C4A92">
              <w:rPr>
                <w:rStyle w:val="a8"/>
                <w:noProof/>
                <w:sz w:val="28"/>
                <w:szCs w:val="28"/>
              </w:rPr>
              <w:t>Современные технологии и организационные практики</w:t>
            </w:r>
            <w:r w:rsidR="002C4A92" w:rsidRPr="002C4A92">
              <w:rPr>
                <w:noProof/>
                <w:webHidden/>
                <w:sz w:val="28"/>
                <w:szCs w:val="28"/>
              </w:rPr>
              <w:tab/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begin"/>
            </w:r>
            <w:r w:rsidR="002C4A92" w:rsidRPr="002C4A92">
              <w:rPr>
                <w:noProof/>
                <w:webHidden/>
                <w:sz w:val="28"/>
                <w:szCs w:val="28"/>
              </w:rPr>
              <w:instrText xml:space="preserve"> PAGEREF _Toc223947169 \h </w:instrText>
            </w:r>
            <w:r w:rsidR="002C4A92" w:rsidRPr="002C4A92">
              <w:rPr>
                <w:noProof/>
                <w:webHidden/>
                <w:sz w:val="28"/>
                <w:szCs w:val="28"/>
              </w:rPr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C4A92" w:rsidRPr="002C4A92">
              <w:rPr>
                <w:noProof/>
                <w:webHidden/>
                <w:sz w:val="28"/>
                <w:szCs w:val="28"/>
              </w:rPr>
              <w:t>11</w:t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CC7AB0" w14:textId="32ACA0FF" w:rsidR="002C4A92" w:rsidRPr="002C4A92" w:rsidRDefault="009326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947170" w:history="1">
            <w:r w:rsidR="002C4A92" w:rsidRPr="002C4A92">
              <w:rPr>
                <w:rStyle w:val="a8"/>
                <w:noProof/>
                <w:sz w:val="28"/>
                <w:szCs w:val="28"/>
              </w:rPr>
              <w:t>Проблемы и риски</w:t>
            </w:r>
            <w:r w:rsidR="002C4A92" w:rsidRPr="002C4A92">
              <w:rPr>
                <w:noProof/>
                <w:webHidden/>
                <w:sz w:val="28"/>
                <w:szCs w:val="28"/>
              </w:rPr>
              <w:tab/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begin"/>
            </w:r>
            <w:r w:rsidR="002C4A92" w:rsidRPr="002C4A92">
              <w:rPr>
                <w:noProof/>
                <w:webHidden/>
                <w:sz w:val="28"/>
                <w:szCs w:val="28"/>
              </w:rPr>
              <w:instrText xml:space="preserve"> PAGEREF _Toc223947170 \h </w:instrText>
            </w:r>
            <w:r w:rsidR="002C4A92" w:rsidRPr="002C4A92">
              <w:rPr>
                <w:noProof/>
                <w:webHidden/>
                <w:sz w:val="28"/>
                <w:szCs w:val="28"/>
              </w:rPr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C4A92" w:rsidRPr="002C4A92">
              <w:rPr>
                <w:noProof/>
                <w:webHidden/>
                <w:sz w:val="28"/>
                <w:szCs w:val="28"/>
              </w:rPr>
              <w:t>17</w:t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B65B6" w14:textId="310969B9" w:rsidR="002C4A92" w:rsidRPr="002C4A92" w:rsidRDefault="009326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947171" w:history="1">
            <w:r w:rsidR="002C4A92" w:rsidRPr="002C4A92">
              <w:rPr>
                <w:rStyle w:val="a8"/>
                <w:noProof/>
                <w:sz w:val="28"/>
                <w:szCs w:val="28"/>
              </w:rPr>
              <w:t>Кейсы внедрения, рекомендации и выводы</w:t>
            </w:r>
            <w:r w:rsidR="002C4A92" w:rsidRPr="002C4A92">
              <w:rPr>
                <w:noProof/>
                <w:webHidden/>
                <w:sz w:val="28"/>
                <w:szCs w:val="28"/>
              </w:rPr>
              <w:tab/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begin"/>
            </w:r>
            <w:r w:rsidR="002C4A92" w:rsidRPr="002C4A92">
              <w:rPr>
                <w:noProof/>
                <w:webHidden/>
                <w:sz w:val="28"/>
                <w:szCs w:val="28"/>
              </w:rPr>
              <w:instrText xml:space="preserve"> PAGEREF _Toc223947171 \h </w:instrText>
            </w:r>
            <w:r w:rsidR="002C4A92" w:rsidRPr="002C4A92">
              <w:rPr>
                <w:noProof/>
                <w:webHidden/>
                <w:sz w:val="28"/>
                <w:szCs w:val="28"/>
              </w:rPr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C4A92" w:rsidRPr="002C4A92">
              <w:rPr>
                <w:noProof/>
                <w:webHidden/>
                <w:sz w:val="28"/>
                <w:szCs w:val="28"/>
              </w:rPr>
              <w:t>19</w:t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9E4A9" w14:textId="681FC0FB" w:rsidR="002C4A92" w:rsidRPr="002C4A92" w:rsidRDefault="009326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947172" w:history="1">
            <w:r w:rsidR="002C4A92" w:rsidRPr="002C4A92">
              <w:rPr>
                <w:rStyle w:val="a8"/>
                <w:noProof/>
                <w:sz w:val="28"/>
                <w:szCs w:val="28"/>
              </w:rPr>
              <w:t>Результаты работы в ЭОС «Дело»</w:t>
            </w:r>
            <w:r w:rsidR="002C4A92" w:rsidRPr="002C4A92">
              <w:rPr>
                <w:noProof/>
                <w:webHidden/>
                <w:sz w:val="28"/>
                <w:szCs w:val="28"/>
              </w:rPr>
              <w:tab/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begin"/>
            </w:r>
            <w:r w:rsidR="002C4A92" w:rsidRPr="002C4A92">
              <w:rPr>
                <w:noProof/>
                <w:webHidden/>
                <w:sz w:val="28"/>
                <w:szCs w:val="28"/>
              </w:rPr>
              <w:instrText xml:space="preserve"> PAGEREF _Toc223947172 \h </w:instrText>
            </w:r>
            <w:r w:rsidR="002C4A92" w:rsidRPr="002C4A92">
              <w:rPr>
                <w:noProof/>
                <w:webHidden/>
                <w:sz w:val="28"/>
                <w:szCs w:val="28"/>
              </w:rPr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C4A92" w:rsidRPr="002C4A92">
              <w:rPr>
                <w:noProof/>
                <w:webHidden/>
                <w:sz w:val="28"/>
                <w:szCs w:val="28"/>
              </w:rPr>
              <w:t>22</w:t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616D0" w14:textId="755A3CA1" w:rsidR="002C4A92" w:rsidRPr="002C4A92" w:rsidRDefault="009326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3947173" w:history="1">
            <w:r w:rsidR="002C4A92" w:rsidRPr="002C4A92">
              <w:rPr>
                <w:rStyle w:val="a8"/>
                <w:noProof/>
                <w:sz w:val="28"/>
                <w:szCs w:val="28"/>
              </w:rPr>
              <w:t>Список источников</w:t>
            </w:r>
            <w:r w:rsidR="002C4A92" w:rsidRPr="002C4A92">
              <w:rPr>
                <w:noProof/>
                <w:webHidden/>
                <w:sz w:val="28"/>
                <w:szCs w:val="28"/>
              </w:rPr>
              <w:tab/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begin"/>
            </w:r>
            <w:r w:rsidR="002C4A92" w:rsidRPr="002C4A92">
              <w:rPr>
                <w:noProof/>
                <w:webHidden/>
                <w:sz w:val="28"/>
                <w:szCs w:val="28"/>
              </w:rPr>
              <w:instrText xml:space="preserve"> PAGEREF _Toc223947173 \h </w:instrText>
            </w:r>
            <w:r w:rsidR="002C4A92" w:rsidRPr="002C4A92">
              <w:rPr>
                <w:noProof/>
                <w:webHidden/>
                <w:sz w:val="28"/>
                <w:szCs w:val="28"/>
              </w:rPr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C4A92" w:rsidRPr="002C4A92">
              <w:rPr>
                <w:noProof/>
                <w:webHidden/>
                <w:sz w:val="28"/>
                <w:szCs w:val="28"/>
              </w:rPr>
              <w:t>23</w:t>
            </w:r>
            <w:r w:rsidR="002C4A92" w:rsidRPr="002C4A9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4713D1" w14:textId="29B60739" w:rsidR="003259A5" w:rsidRDefault="003259A5">
          <w:r w:rsidRPr="003259A5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6B249D4" w14:textId="6A38EB36" w:rsidR="00F96AD1" w:rsidRDefault="00F96AD1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0FCADC1D" w14:textId="77777777" w:rsidR="00F96AD1" w:rsidRPr="00F8719F" w:rsidRDefault="00F96AD1" w:rsidP="00F8719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3947165"/>
      <w:r w:rsidRPr="00F871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Исполнительная аннотация</w:t>
      </w:r>
      <w:bookmarkEnd w:id="2"/>
    </w:p>
    <w:p w14:paraId="746AF0B4" w14:textId="56B4C83E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Отечественное делопроизводство формировалось как управленческая технология фиксации, движения и контроля исполнения документов: от актово‑грамотной культуры Древней Руси и приказного делопроизводства Московского государства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 к регламентированным канцелярским практикам эпохи реформ Пётр I и стандартизированным системам советского периода. Вехой «юридической» институционализации коллежского делопроизводства стал «Генеральный регламент» 1720 года, впервые комплексно задавший порядок работы учреждений и обращения документов. </w:t>
      </w:r>
    </w:p>
    <w:p w14:paraId="45A1195F" w14:textId="3A98184C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С конца XX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 начала XXI века центр тяжести сместился к электронным документам и управлению их жизненным циклом: нормативное поле задают федеральные законы об архивном деле, об информации и об электронной подписи, а также подзаконные «Правила делопроизводства» для федеральных органов исполнительной власти.  Одновременно государство выстраивает «единый цифровой контур» межведомственного и внутриведомственного обмена, закрепляя требования к форматам электронных документов и транспортных контейнеров (в частности, через совместные приказы в связке Минцифры—ФСО), причём новые форматы (версия 3.0) имеют установленную дату вступления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1 сентября 2026 года. </w:t>
      </w:r>
    </w:p>
    <w:p w14:paraId="24A45BD9" w14:textId="40B53C16" w:rsid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На современном этапе делопроизводство в РФ опирается на СЭД/ECM‑платформы (например, «ДЕЛО», «1С:Документооборот», Directum RX, Docsvision), электронную подпись (включая КЭП), операторский ЭДО для юридически значимого обмена с контрагентами, облачную инфраструктуру (в том числе государственные типовые решения), OCR/интеллектуальную обработку и полнотекстовый поиск (часто с использованием специализированных поисковых движков). При этом ключевые риски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юридическая значимость и долгосрочная сохранность электронных документов, совместимость форматов, информационная безопасность и кадровая готовность организаций. </w:t>
      </w:r>
    </w:p>
    <w:p w14:paraId="4335AF9C" w14:textId="77777777" w:rsidR="00F96AD1" w:rsidRDefault="00F96AD1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129E7F" w14:textId="77777777" w:rsidR="00F96AD1" w:rsidRPr="00F8719F" w:rsidRDefault="00F96AD1" w:rsidP="00F8719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3947166"/>
      <w:r w:rsidRPr="00F871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3"/>
    </w:p>
    <w:p w14:paraId="695740C8" w14:textId="6C5D616F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В российской традиции делопроизводство понимается как организационно‑технологическая сфера управления документами: совокупность работ по документированию управленческой деятельности и по организации работы с документами (их созданию, обработке, учёту, движению, контролю исполнения, хранению и подготовке к передаче в архив). Современная терминология и понятийное поле формализуются национальными стандартами: в частности, ГОСТ‑серия в области «делопроизводства и архивного дела» задаёт определения базовых категорий, необходимых для единообразия практик в организациях. </w:t>
      </w:r>
    </w:p>
    <w:p w14:paraId="535D1FE8" w14:textId="33995BA4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Методологически делопроизводство в РФ исторически тесно связано с архивным делом: управленческий документ рассматривается как объект с жизненным циклом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от возникновения в деятельности органа/организации до отбора к хранению и передачи на архивное хранение (либо уничтожения по установленным срокам). Поэтому ключевые изменения в делопроизводстве ХХI века обусловлены не только внедрением ИТ, но и «перепрошивкой» требований к аутентичности, целостности, воспроизводимости и юридической значимости документов при переходе от бумаги к электронному виду. </w:t>
      </w:r>
    </w:p>
    <w:p w14:paraId="369DECA9" w14:textId="242AC130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Условно современное делопроизводство в РФ существует в «гибридной» модели: часть документов продолжает создаваться и храниться на бумаге (или в виде электронных образов), часть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в виде подлинных электронных документов, подписанных электронной подписью, а значительная доля обмена с государством и контрагентами проходит по регламентированным электронным каналам. Это порождает ключевой вопрос практики: как обеспечить юридическую значимость и долгосрочную сохранность электронного документа при постоянной технологической и нормативной динамике. </w:t>
      </w:r>
    </w:p>
    <w:p w14:paraId="66B86FA4" w14:textId="77777777" w:rsidR="00F96AD1" w:rsidRDefault="00F96AD1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38CE004" w14:textId="2FAEF9F8" w:rsidR="00F96AD1" w:rsidRPr="00F8719F" w:rsidRDefault="00F96AD1" w:rsidP="00F8719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3947167"/>
      <w:r w:rsidRPr="00F871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Исторический обзор</w:t>
      </w:r>
      <w:bookmarkEnd w:id="4"/>
    </w:p>
    <w:p w14:paraId="2E7AE461" w14:textId="5AFCB7EB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Древнерусский период задаёт культурно‑технологическую основу письменной коммуникации: важнейшими свидетельствами повседневной и хозяйственно‑правовой письменности стали берестяные грамоты XI–XV вв., обнаруженные археологами и представившие массив «подлинников» (а не поздних списков). Их значение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в демонстрации ранней массовой грамотности и устойчивых практик фиксации сообщений, поручений, долговых и хозяйственных отношений. </w:t>
      </w:r>
    </w:p>
    <w:p w14:paraId="3B98186F" w14:textId="7139DC4E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С усилением московской государственности (XV–XVII вв.) складывается приказная система управления и соответствующее «приказное делопроизводство»: документооборот становится элементом административной машины, формируются устойчивые канцелярские процедуры, «книжные» формы учёта и регистрирования, практики хранения и поиска в делах. Это переход от разрозненной актовой письменности к институционализированной работе с документом как инструментом управления. </w:t>
      </w:r>
    </w:p>
    <w:p w14:paraId="40DE019F" w14:textId="1FF0FA6B" w:rsidR="00B61E89" w:rsidRPr="00F96AD1" w:rsidRDefault="00F96AD1" w:rsidP="00B61E89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Петровские реформы создают «регламентный» поворот: введение коллегий и «Генерального регламента» (1720) закрепляет принципы организации учреждений и формализует движение дел и документов; в исследовательской традиции именно регламент рассматривается как ключевой документ, задавший модель коллежского делопроизводства и связанный с модернизацией государственного аппарата. </w:t>
      </w:r>
    </w:p>
    <w:p w14:paraId="4E6E624C" w14:textId="7AC3A38C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Советский период характеризуется стремлением к унификации и стандартизации управленческой документации и процедур. В 1973 г. была разработана Единая государственная система делопроизводства (ЕГСД) как инструмент упорядочения документооборота и повышения качества документации; в 1988 г. оформляется ГСДОУ (Государственная система документационного обеспечения управления), фиксирующая принципы и требования к документированию управленческой деятельности и работе служб ДОУ. Эти проекты отражают «индустриальную» логику управления: </w:t>
      </w:r>
      <w:r w:rsidRPr="00F96AD1">
        <w:rPr>
          <w:sz w:val="28"/>
          <w:szCs w:val="28"/>
        </w:rPr>
        <w:lastRenderedPageBreak/>
        <w:t xml:space="preserve">эффективность, нормирование, типизация форм и процессов. </w:t>
      </w:r>
    </w:p>
    <w:p w14:paraId="7BBDCC0E" w14:textId="2DB6E156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Постсоветский переход (1990‑е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2020‑е) связан с одновременной «рыночной» дифференциацией практик и с усилением правового регулирования электронных документов. Для анализа этого этапа показателен тезис о «пакетной» связке делопроизводства и архивного дела в ведомственных функциях и законодательстве 1990‑х и 2000‑х годов; параллельно складывается рынок отечественных СЭД/ECM и начальная инфраструктура межведомственного электронного документооборота. В 2020‑е годы государство переходит к созданию единых платформенных контуров (ГосЭДО/ЕИП) и типовых облачных решений для учреждений без собственных СЭД. </w:t>
      </w:r>
    </w:p>
    <w:p w14:paraId="29F0BDF0" w14:textId="4C9FCA88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>История отечественного делопроизводства и переход к цифровым контурам</w:t>
      </w:r>
    </w:p>
    <w:p w14:paraId="13B369C5" w14:textId="77777777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XI–XV вв. : берестяные грамоты и развитие письменной коммуникации</w:t>
      </w:r>
    </w:p>
    <w:p w14:paraId="64ED6C47" w14:textId="77777777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XV–XVII вв. : приказная система и приказное делопроизводство</w:t>
      </w:r>
    </w:p>
    <w:p w14:paraId="035FC51A" w14:textId="77777777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1720 : "Генеральный регламент" и коллежское делопроизводство</w:t>
      </w:r>
    </w:p>
    <w:p w14:paraId="0C1919BD" w14:textId="069E6904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1973 : ЕГСД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 унификация и нормирование документооборота</w:t>
      </w:r>
    </w:p>
    <w:p w14:paraId="39FD3057" w14:textId="661D868F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1988 : ГСДОУ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 принципы ДОУ и требования к службам</w:t>
      </w:r>
    </w:p>
    <w:p w14:paraId="41345ACA" w14:textId="46F0AE6B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2004 : 125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ФЗ об архивном деле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 базовый закон для архивного хранения</w:t>
      </w:r>
    </w:p>
    <w:p w14:paraId="108BC16A" w14:textId="5B62301D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2006 : 149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>ФЗ об информации и 152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>ФЗ о персональных данных</w:t>
      </w:r>
    </w:p>
    <w:p w14:paraId="5C87C4AA" w14:textId="77777777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2009 : Правила делопроизводства в ФОИВ (ПП РФ № 477)</w:t>
      </w:r>
    </w:p>
    <w:p w14:paraId="5F90A0B2" w14:textId="0CE91C0F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2011 : 63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>ФЗ об электронной подписи и ускорение юридически значимого ЭДО</w:t>
      </w:r>
    </w:p>
    <w:p w14:paraId="4A71BEEE" w14:textId="77777777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2020 : типовые функциональные требования к СЭД/СХЭД (Росархив № 69)</w:t>
      </w:r>
    </w:p>
    <w:p w14:paraId="08B68A61" w14:textId="46183478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2022–2025 : ГосЭДО/ЕИП и ГИС ТОР СЭД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 государственные платформы</w:t>
      </w:r>
    </w:p>
    <w:p w14:paraId="5DE75D83" w14:textId="77777777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    01.09.2026 : вступление версии 3.0 форматов обмена (приказ Минцифры/ФСО № 611/96)</w:t>
      </w:r>
    </w:p>
    <w:p w14:paraId="0FFB663A" w14:textId="72B514E2" w:rsid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Ключевые опорные точки (1720; 1973; 1988; 2004–2011; 2020–2026) </w:t>
      </w:r>
      <w:r w:rsidRPr="00F96AD1">
        <w:rPr>
          <w:sz w:val="28"/>
          <w:szCs w:val="28"/>
        </w:rPr>
        <w:lastRenderedPageBreak/>
        <w:t xml:space="preserve">документируются историческими источниками и нормативными актами, отражающими переход от бумажного документооборота к цифровому управлению документами и межведомственным электронным взаимодействиям. </w:t>
      </w:r>
    </w:p>
    <w:p w14:paraId="7D0EE10F" w14:textId="77777777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</w:p>
    <w:p w14:paraId="4036F495" w14:textId="77777777" w:rsidR="00F96AD1" w:rsidRDefault="00F96AD1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A8D674F" w14:textId="3EDD05DE" w:rsidR="00F96AD1" w:rsidRPr="00F8719F" w:rsidRDefault="00F96AD1" w:rsidP="00F8719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3947168"/>
      <w:r w:rsidRPr="00F871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Нормативно‑правовая база РФ</w:t>
      </w:r>
      <w:bookmarkEnd w:id="5"/>
    </w:p>
    <w:p w14:paraId="5DC109EE" w14:textId="27EF1498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Правовое регулирование делопроизводства в РФ строится многоуровнево: федеральные законы задают рамки статуса документов, информации и подписи; правительственные постановления устанавливают правила организации делопроизводства в органах власти; ведомственные приказы формализуют отраслевые требования, а национальные стандарты (ГОСТ) обеспечивают унификацию терминологии и оформления управленческой документации. </w:t>
      </w:r>
    </w:p>
    <w:p w14:paraId="51A6CD32" w14:textId="0DE34107" w:rsidR="00F96AD1" w:rsidRPr="00B61E89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Базовыми федеральными законами для «цифрового» делопроизводства являются: закон об архивном деле (определяет принципы организации архивного хранения и связи с управленческой документацией), закон об информации (задаёт общую рамку обращения информации и ИТ), закон об электронной подписи (устанавливает виды ЭП и правила признания), а также закон о персональных данных (как минимум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>для кадрового и договорного контуров). Для организаций, относящихся к объектам КИИ, добавляется специальный контур требований по безопасности критической информационной инфраструктуры и подзаконное регулирование</w:t>
      </w:r>
      <w:r w:rsidR="00B61E89" w:rsidRPr="00B61E89">
        <w:rPr>
          <w:sz w:val="28"/>
          <w:szCs w:val="28"/>
        </w:rPr>
        <w:t>.</w:t>
      </w:r>
    </w:p>
    <w:p w14:paraId="071AD9EC" w14:textId="1D4789F8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Для федеральных органов исполнительной власти ключевым документом остаётся постановление Правительства РФ от 15.06.2009 № 477, утвердившее Правила делопроизводства в ФОИВ: оно задаёт обязательную основу построения регламентов, маршрутов и процедур обработки документов (включая организацию контроля). </w:t>
      </w:r>
    </w:p>
    <w:p w14:paraId="2C26F5A6" w14:textId="3D5C3DFF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На уровне стандартов особое значение имеют: (а) ГОСТ по терминологии делопроизводства/архивного дела (актуализированный стандарт 2025 года продолжает линию унификации понятийного аппарата), (б) ГОСТ по оформлению организационно‑распорядительных документов, который кодифицирует требования к реквизитам и текстовому оформлению управленческих документов. Эти стандарты служат мостом между «бумажной» и «электронной» формами: даже при цифровом создании документ должен сохранять структурные признаки, позволяющие </w:t>
      </w:r>
      <w:r w:rsidRPr="00F96AD1">
        <w:rPr>
          <w:sz w:val="28"/>
          <w:szCs w:val="28"/>
        </w:rPr>
        <w:lastRenderedPageBreak/>
        <w:t xml:space="preserve">идентифицировать его вид, автора, дату и юридическую природу. </w:t>
      </w:r>
    </w:p>
    <w:p w14:paraId="6DAA9CA5" w14:textId="279E12FD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Ведомственные приказы, влияющие на практику делопроизводства, концентрируются в двух областях: архивное хранение и межведомственный обмен электронными документами. Для архивного контура существенны приказы о правилах организации хранения и о перечнях типовых управленческих архивных документов со сроками хранения, а также типовые функциональные требования к СЭД/системам хранения электронных документов, утверждённые Росархив.  Практический смысл этих требований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задать минимальный состав функций, метаданных и процедур, обеспечивающих сохранность, аутентичность и управляемость электронных дел. </w:t>
      </w:r>
    </w:p>
    <w:p w14:paraId="454860C0" w14:textId="408E2075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Для межведомственного электронного документооборота принципиальны «требования к организационно‑техническому взаимодействию» при обмене документами в электронном виде. Эволюция нормативной линии прослеживается от приказа Минкомсвязи/ФСО № 186/258 (2015) к приказу Минцифры России и ФСО России № 667/233 (2020; зарегистрирован в 2021) и далее к приказу Минцифры/ФСО № 611/96 (12.07.2024; официальная публикация 20.08.2024), который закрепляет актуализированные требования и форматы, включая форматы транспортного контейнера. Отдельно важно, что в этих требованиях фиксируются конкретные форматы файлов (например, для основного текста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PDF/A‑1) и переходные сроки: версия формата 3.0 вступает в силу с 01.09.2026. </w:t>
      </w:r>
    </w:p>
    <w:p w14:paraId="04B47481" w14:textId="04C71169" w:rsid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Регулирование юридически значимого ЭДО с контрагентами во многом опирается на «операторскую» модель. Требования к оператору электронного документооборота утверждены ФНС России приказом № ЕД‑7‑26/546@ (08.06.2021; вступление в силу с 01.03.2022; действие до 01.03.2028), а форматы представления ряда первичных и иных документов (включая счета‑фактуры) в электронной форме закреплены приказами ФНС (например, линия ММВ‑7‑6/36 с актуализациями). Это связывает делопроизводство с налоговым комплаенсом: документ должен быть не только создан и </w:t>
      </w:r>
      <w:r w:rsidRPr="00F96AD1">
        <w:rPr>
          <w:sz w:val="28"/>
          <w:szCs w:val="28"/>
        </w:rPr>
        <w:lastRenderedPageBreak/>
        <w:t xml:space="preserve">согласован, но и пригоден для обмена и подтверждения юридических фактов. </w:t>
      </w:r>
    </w:p>
    <w:p w14:paraId="39BCFF96" w14:textId="77777777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</w:p>
    <w:p w14:paraId="34397E44" w14:textId="77777777" w:rsidR="00F8719F" w:rsidRDefault="00F8719F">
      <w:pPr>
        <w:widowControl/>
        <w:autoSpaceDE/>
        <w:autoSpaceDN/>
        <w:adjustRightInd/>
        <w:spacing w:after="160" w:line="259" w:lineRule="auto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19E628AC" w14:textId="0FFE9226" w:rsidR="00F96AD1" w:rsidRPr="00F8719F" w:rsidRDefault="00F96AD1" w:rsidP="00F8719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3947169"/>
      <w:r w:rsidRPr="00F871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Современные технологии и организационные практики</w:t>
      </w:r>
      <w:bookmarkEnd w:id="6"/>
    </w:p>
    <w:p w14:paraId="2DB2FD9E" w14:textId="0AEA20B3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Современное делопроизводство в РФ всё чаще реализуется через СЭД/ECM, где документ существует как связка «контент + метаданные + маршрут + статусы + журналы действий». Это соответствует логике, закрепляемой типовыми функциональными требованиями к СЭД и системам хранения электронных документов: документ должен быть регистрируем, маршрутизируем, контролируем по исполнению, защищаем по доступу и воспроизводим при проверках и архивном хранении. </w:t>
      </w:r>
    </w:p>
    <w:p w14:paraId="46B8538A" w14:textId="3BFAB325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Практическая «сборка» делопроизводства в системе обычно начинается с нормализации справочников и классификаторов (структура организации, подразделения, должности, номенклатура дел, виды документов, корреспонденты/контрагенты, места хранения/«кабинеты» и др.). Именно справочная модель задаёт основу для автоматизации маршрутов: по виду документа выбирается процедура регистрации, «типовой путь» согласования, контрольные сроки и правила хранения. Такой подход согласуется с общими принципами регламентации делопроизводства в органах власти и с методическими рекомендациями архивной системы. </w:t>
      </w:r>
    </w:p>
    <w:p w14:paraId="2869B75E" w14:textId="3BBC27D6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Электронная подпись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центральный механизм юридической значимости электронного документа. Закон об электронной подписи устанавливает правовые режимы применения ЭП и тем самым превращает «электронный файл» в юридически значимый документ при соблюдении условий подписания и проверки. На практике в СЭД это реализуется через интеграцию с криптографическими средствами и сервисами проверки (сертификаты, проверка цепочки доверия, журналы подписи, при необходимости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временные метки). </w:t>
      </w:r>
    </w:p>
    <w:p w14:paraId="7AAC49A4" w14:textId="087AC0B1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Текущая государственная цифровизация усиливает «платформенную» составляющую делопроизводства. Помимо ведомственных СЭД, развивается ЕИП/ГосЭДО как единое информационное пространство государственного электронного документооборота, а для организаций без собственной СЭД предусмотрено типовое облачное решение (ГИС ТОР СЭД), описываемое как </w:t>
      </w:r>
      <w:r w:rsidRPr="00F96AD1">
        <w:rPr>
          <w:sz w:val="28"/>
          <w:szCs w:val="28"/>
        </w:rPr>
        <w:lastRenderedPageBreak/>
        <w:t xml:space="preserve">инструмент обеспечения базовых процессов делопроизводства с возможностью межведомственного взаимодействия. Этот тренд институционально подкрепляется вводом в эксплуатацию государственной системы «Типовое облачное решение системы электронного документооборота» и описанием отдельных подсистем/проектов на ресурсах Минцифры. </w:t>
      </w:r>
    </w:p>
    <w:p w14:paraId="3E921722" w14:textId="77777777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>На уровне конкретных технологий внутри СЭД заметны четыре «ускорителя зрелости»: 1) OCR и интеллектуальная обработка входящих потоков (скан‑потоки, классификация, извлечение реквизитов);</w:t>
      </w:r>
    </w:p>
    <w:p w14:paraId="058E4541" w14:textId="77777777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>2) полнотекстовый и семантический поиск;</w:t>
      </w:r>
    </w:p>
    <w:p w14:paraId="3E03702E" w14:textId="77777777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>3) интеграция с внешними контурами ЭДО/гос‑платформ (межведомственные форматы, операторы ЭДО, реестры);</w:t>
      </w:r>
    </w:p>
    <w:p w14:paraId="24F37CF0" w14:textId="23F53A8E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4) web‑доступ и облачные архитектуры как ответ на распределённость и дистанционную работу. </w:t>
      </w:r>
    </w:p>
    <w:p w14:paraId="2C0CD011" w14:textId="65CCC67B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>OCR‑контур в российских внедрениях обычно описывается как прикладная задача «оцифровать и превратить в управляемый документ»: распознать текст, выделить реквизиты, классифицировать и направить по маршруту. Показательно, что вендоры прямо связывают OCR с минимизацией потерь информации и с дальнейшим полнотекстовым поиском внутри СЭД.</w:t>
      </w:r>
    </w:p>
    <w:p w14:paraId="0296DD98" w14:textId="0D493752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Полнотекстовый поиск в крупных хранилищах документов технологически тяготеет к специализированным поисковым движкам. Elasticsearch описывается как распределённый поисковый и аналитический движок, оптимизированный для быстрого индексирования и поиска (включая работу с разнородными данными в почти реальном времени), что делает его типовой «кандидатурой» для слоя поиска в документоориентированных системах. При этом его лицензионная эволюция (изменения 2021 года и добавление AGPL как опции в 2024 году) подчёркивает важность управления лицензиями Open Source‑компонентов в корпоративных внедрениях. </w:t>
      </w:r>
    </w:p>
    <w:p w14:paraId="70BFB348" w14:textId="0E96FB66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Интеграции с государственными системами становятся обязательным элементом делопроизводства для многих организаций. В сфере закупок единая </w:t>
      </w:r>
      <w:r w:rsidRPr="00F96AD1">
        <w:rPr>
          <w:sz w:val="28"/>
          <w:szCs w:val="28"/>
        </w:rPr>
        <w:lastRenderedPageBreak/>
        <w:t xml:space="preserve">информационная система (ЕИС) функционирует как официальный портал, где публикуются данные и документы по закупочным процедурам; правовая рамка ЕИС закреплена в 44‑ФЗ. Следовательно, внутреннее делопроизводство (подготовка, согласование, хранение закупочных документов) должно быть синхронизировано с внешним контуром ЕИС </w:t>
      </w:r>
      <w:r w:rsidR="00345FC7">
        <w:rPr>
          <w:sz w:val="28"/>
          <w:szCs w:val="28"/>
        </w:rPr>
        <w:t>-</w:t>
      </w:r>
      <w:r w:rsidRPr="00F96AD1">
        <w:rPr>
          <w:sz w:val="28"/>
          <w:szCs w:val="28"/>
        </w:rPr>
        <w:t xml:space="preserve">и по формату, и по срокам, и по юридической значимости. </w:t>
      </w:r>
    </w:p>
    <w:p w14:paraId="054DD1AA" w14:textId="0F1BC44A" w:rsidR="00F96AD1" w:rsidRP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 xml:space="preserve">В широком смысле «интеграция с ГАС» иллюстрируется тем, что государственные автоматизированные системы (например, ГАС «Управление» как система информационно‑аналитической поддержки решений и ГАС «Правосудие» как контур судебного делопроизводства и сервисов) формируют внешние требования к документам и данным, которые должны корректно попадать в управленческий документооборот организаций и органов власти. Для ГАС «Управление» назначение и структура закреплены постановлением Правительства РФ № 1088 от 25.12.2009; это показывает, что документы и показатели, циркулирующие между уровнями управления, требуют стандартизированного представления и контроля. </w:t>
      </w:r>
    </w:p>
    <w:p w14:paraId="6DDBE140" w14:textId="22A5DED5" w:rsidR="00ED30E4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  <w:r w:rsidRPr="00F96AD1">
        <w:rPr>
          <w:sz w:val="28"/>
          <w:szCs w:val="28"/>
        </w:rPr>
        <w:t>Ниже приведена сравнительная таблица четырёх распространённых СЭД/ECM‑решений, используемых в РФ, по критериям, наиболее значимым для делопроизводства (функционал, ЭП, развертывание, стоимость, аудитория). Стоимость указана ориентировочно по открытым прайс‑данным вендоров и официальным страницам.</w:t>
      </w:r>
    </w:p>
    <w:p w14:paraId="0F429423" w14:textId="77777777" w:rsidR="00F96AD1" w:rsidRDefault="00F96AD1">
      <w:r>
        <w:br w:type="page"/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64"/>
        <w:gridCol w:w="1902"/>
        <w:gridCol w:w="1339"/>
        <w:gridCol w:w="1809"/>
        <w:gridCol w:w="1208"/>
        <w:gridCol w:w="1623"/>
      </w:tblGrid>
      <w:tr w:rsidR="00F96AD1" w14:paraId="7915B0A7" w14:textId="77777777" w:rsidTr="00F96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AD26131" w14:textId="163F2386" w:rsidR="00F96AD1" w:rsidRPr="00A25F39" w:rsidRDefault="00F96AD1" w:rsidP="00F96AD1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Система (вендор)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3E759F6" w14:textId="77777777" w:rsidR="00F96AD1" w:rsidRPr="00A25F39" w:rsidRDefault="00F96AD1" w:rsidP="00F96AD1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Функционал для делопроизводства (кратко)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1D72FEF2" w14:textId="77777777" w:rsidR="00F96AD1" w:rsidRPr="00A25F39" w:rsidRDefault="00F96AD1" w:rsidP="00F96AD1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Поддержка ЭП/криптографии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5FAB55D1" w14:textId="77777777" w:rsidR="00F96AD1" w:rsidRPr="00A25F39" w:rsidRDefault="00F96AD1" w:rsidP="00F96AD1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Развертывание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4B080CD7" w14:textId="77777777" w:rsidR="00F96AD1" w:rsidRPr="00A25F39" w:rsidRDefault="00F96AD1" w:rsidP="00F96AD1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Стоимость (ориентировочно, лицензии)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top"/>
          </w:tcPr>
          <w:p w14:paraId="0EE16CC0" w14:textId="77777777" w:rsidR="00F96AD1" w:rsidRPr="00A25F39" w:rsidRDefault="00F96AD1" w:rsidP="00F96AD1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Целевая аудитория</w:t>
            </w:r>
          </w:p>
        </w:tc>
      </w:tr>
      <w:tr w:rsidR="00F96AD1" w14:paraId="6B64D4A8" w14:textId="77777777" w:rsidTr="003F4FB2">
        <w:tc>
          <w:tcPr>
            <w:tcW w:w="0" w:type="auto"/>
            <w:tcBorders>
              <w:bottom w:val="single" w:sz="4" w:space="0" w:color="auto"/>
            </w:tcBorders>
          </w:tcPr>
          <w:p w14:paraId="5026EBA1" w14:textId="37460973" w:rsidR="00F96AD1" w:rsidRPr="00A25F39" w:rsidRDefault="00F96AD1" w:rsidP="00F96AD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>«ДЕЛО» (Электронные офисные системы)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02A6E29" w14:textId="14E54DF5" w:rsidR="00F96AD1" w:rsidRPr="00A25F39" w:rsidRDefault="00F96AD1" w:rsidP="00F96AD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Управление документами и поручениями, контроль исполнения, в т.ч. управление заседаниями/протоколами; расширяемость опциями (web‑доступ, внешние контуры, аналитика).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6D0D93B" w14:textId="3BEC66ED" w:rsidR="00F96AD1" w:rsidRPr="00A25F39" w:rsidRDefault="00F96AD1" w:rsidP="00F96AD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Подписание и проверка ЭП реализуются через опции «ЭП и шифрование»/сервер проверки; поддержка сертифицированных СКЗИ (например, КриптоПро CSP и др.).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52AB16F" w14:textId="77357167" w:rsidR="00F96AD1" w:rsidRPr="00A25F39" w:rsidRDefault="00F96AD1" w:rsidP="00F96AD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Обычно on‑premise; возможен web‑доступ (подсистема ДЕЛО‑Web).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1E5C113" w14:textId="4C9671B1" w:rsidR="00F96AD1" w:rsidRPr="00A25F39" w:rsidRDefault="00F96AD1" w:rsidP="00F96AD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Серверная лицензия: 28 000 руб.; рабочие места (ЛГО) </w:t>
            </w:r>
            <w:r w:rsidR="00345FC7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от 13 300 руб./место (диапазоны зависят от объёма).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62CAFE6" w14:textId="099AAE69" w:rsidR="00F96AD1" w:rsidRPr="00A25F39" w:rsidRDefault="00F96AD1" w:rsidP="00F96AD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Госорганы, регионы/муниципалитеты, крупные учреждения с требованиями к регистрации/контролю. </w:t>
            </w:r>
          </w:p>
        </w:tc>
      </w:tr>
      <w:tr w:rsidR="003F4FB2" w:rsidRPr="003F4FB2" w14:paraId="5DC05CAE" w14:textId="77777777" w:rsidTr="003F4F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F2A3" w14:textId="0E2195F7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>«1С:Документооборот» (Фирма «1С»)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0AD8" w14:textId="514045DD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ECM‑система для автоматизации типовых процессов работы с документами, контроля исполнения, регламентации управленческой деятельности; сильная сторона </w:t>
            </w:r>
            <w:r w:rsidR="00345FC7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интеграции в экосистеме 1С и механизмы интеграции (API/обмен).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B9B8" w14:textId="2AF93554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Практика применения ЭП поддерживается в экосистеме (обучающие материалы и сценарии подписания/ЭДО внутри 1С), а юридически значимый обмен обеспечивается сервисами ЭДО.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72A1" w14:textId="6AAA8690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On‑premise на платформе «1С:Предприятие»; удалённая работа через тонкий/веб‑клиент; возможны облачные модели размещения через сервисную инфраструктуру/провайдеров.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5976" w14:textId="357FAA63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РРЦ: «ПРОФ» 55 300 руб.; «КОРП» 286 900 руб.; «гос. учреждения» 180 500 руб. (конфигурации, без проекта внедрения).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EEF1" w14:textId="7DB86DC1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Бизнес и госсектор, особенно организации с несколькими системами 1С и потребностью в «сквозных» интеграциях. </w:t>
            </w:r>
          </w:p>
        </w:tc>
      </w:tr>
      <w:tr w:rsidR="003F4FB2" w:rsidRPr="003F4FB2" w14:paraId="3FD360C2" w14:textId="77777777" w:rsidTr="003F4F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063D7" w14:textId="4CDBEE00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lastRenderedPageBreak/>
              <w:t>Directum RX (Directum)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06C7" w14:textId="2757847E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Управление документами и процессами; поддержка подписания документов ЭП, сценарии делопроизводства/согласования и цифровых процессов в подразделениях.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A155" w14:textId="6382A785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На уровне решения описывается работа с разными режимами ЭП (в т.ч. усиленная), что связывается с криптографической защитой и сертификатами.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53E0E" w14:textId="0485ABF5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>Возможны on‑premise и облачные модели (SaaS упоминается как модель поставки; практики выбора «облако vs локально» обсуждаются вендором).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6273" w14:textId="20BD1498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Прайс‑лист опубликован в виде PDF; стоимость зависит от состава модулей/лицензий и условий поставки.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9490" w14:textId="10CBBC00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Средние и крупные организации, которым важны процессный подход и масштабируемость цифровых контуров. </w:t>
            </w:r>
          </w:p>
        </w:tc>
      </w:tr>
      <w:tr w:rsidR="003F4FB2" w:rsidRPr="003F4FB2" w14:paraId="73B48A34" w14:textId="77777777" w:rsidTr="003F4F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C37A" w14:textId="72F808FD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>Docsvision (Docsvision)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EE05B" w14:textId="307DCC92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СЭД/ECM‑платформа; web‑клиент как полнофункциональное рабочее место через браузер; вендор описывает эффекты внедрения для делопроизводства и контроля исполнения.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F660" w14:textId="651DBDDA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Подписание карточек/документов ЭП поддерживается, включая инструменты подписания и сценарии для юридически значимого документооборота.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8954" w14:textId="4109329B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Обычно on‑premise; доступ через web‑клиент (кроссплатформенно) и интеграционные модули.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4E27" w14:textId="18E7390E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Конкурентные лицензии (бессрочно): «Стандартная» 11 600 руб./пользователь; «Корпоративная» 20 100; «ECM» 28 900 (плюс стоимость внедрения).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2AEC" w14:textId="79849244" w:rsidR="003F4FB2" w:rsidRPr="00A25F39" w:rsidRDefault="003F4FB2" w:rsidP="00236F7F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25F39">
              <w:rPr>
                <w:rFonts w:ascii="Times New Roman" w:hAnsi="Times New Roman" w:cs="Times New Roman"/>
                <w:color w:val="000000" w:themeColor="text1"/>
              </w:rPr>
              <w:t xml:space="preserve">Госсектор и крупный бизнес; проекты внедрения указываются в т.ч. для городских администраций и вузов. </w:t>
            </w:r>
          </w:p>
        </w:tc>
      </w:tr>
    </w:tbl>
    <w:p w14:paraId="506253D7" w14:textId="7A3DD73B" w:rsidR="00F96AD1" w:rsidRDefault="00F96AD1" w:rsidP="00F96AD1">
      <w:pPr>
        <w:spacing w:line="360" w:lineRule="auto"/>
        <w:ind w:firstLine="425"/>
        <w:jc w:val="both"/>
        <w:rPr>
          <w:sz w:val="28"/>
          <w:szCs w:val="28"/>
        </w:rPr>
      </w:pPr>
    </w:p>
    <w:p w14:paraId="3CB158AB" w14:textId="0909EAA2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t xml:space="preserve">Таблица показывает структурное сходство СЭД как класса (регистрация, маршрутизация, контроль, хранение) при различиях в модели лицензирования, архитектуре доступа и «экосистемности» интеграций. Именно эти различия обычно определяют «стоимость владения» и риски внедрения: лицензии </w:t>
      </w:r>
      <w:r w:rsidR="00345FC7">
        <w:rPr>
          <w:sz w:val="28"/>
          <w:szCs w:val="28"/>
        </w:rPr>
        <w:t>-</w:t>
      </w:r>
      <w:r w:rsidRPr="003F4FB2">
        <w:rPr>
          <w:sz w:val="28"/>
          <w:szCs w:val="28"/>
        </w:rPr>
        <w:lastRenderedPageBreak/>
        <w:t xml:space="preserve">лишь часть бюджета, значимая доля затрат приходится на обследование процессов, настройку маршрутов, интеграции и обучение пользователей. </w:t>
      </w:r>
    </w:p>
    <w:p w14:paraId="4CB66FC3" w14:textId="77777777" w:rsidR="003F4FB2" w:rsidRDefault="003F4FB2" w:rsidP="003F4FB2">
      <w:pPr>
        <w:pStyle w:val="2"/>
        <w:spacing w:line="360" w:lineRule="auto"/>
        <w:ind w:firstLine="425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7" w:name="проблемы-и-риски"/>
    </w:p>
    <w:p w14:paraId="7B6A7C59" w14:textId="77777777" w:rsidR="003F4FB2" w:rsidRDefault="003F4FB2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A363F2" w14:textId="2643358F" w:rsidR="003F4FB2" w:rsidRPr="00F8719F" w:rsidRDefault="003F4FB2" w:rsidP="00F8719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3947170"/>
      <w:r w:rsidRPr="00F871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Проблемы и риски</w:t>
      </w:r>
      <w:bookmarkEnd w:id="8"/>
    </w:p>
    <w:p w14:paraId="693E3439" w14:textId="7714BE54" w:rsidR="003F4FB2" w:rsidRPr="003F4FB2" w:rsidRDefault="003F4FB2" w:rsidP="003F4FB2">
      <w:pPr>
        <w:pStyle w:val="FirstParagraph"/>
        <w:spacing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F4F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Ключевой правовой риск цифрового делопроизводства </w:t>
      </w:r>
      <w:r w:rsidR="00345FC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 w:rsidRPr="003F4F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обеспечение юридической значимости электронных документов при соблюдении требований закона об электронной подписи и отраслевых требований к обмену электронными документами. На практике это означает необходимость корректного выбора вида подписи, управления сертификатами, ведения журналов подписания и обеспечения воспроизводимой проверки подписи в горизонте времени, сопоставимом со сроками хранения документов. </w:t>
      </w:r>
    </w:p>
    <w:p w14:paraId="12664B8C" w14:textId="24290094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t xml:space="preserve">Технический риск связан с совместимостью форматов и «долгоживущих» представлений документа. В межведомственном обмене нормативно закрепляются конкретные форматы (например, PDF/A‑1 для текста) и транспортные контейнеры, а переход на новые версии форматов имеет жёсткие даты (например, 01.09.2026 для версии 3.0). Соответственно, организации должны заранее планировать модернизацию СЭД, иначе формально корректный документ может стать «непринимаемым» внешним контуром. </w:t>
      </w:r>
    </w:p>
    <w:p w14:paraId="796CEF5B" w14:textId="5407EA4F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t xml:space="preserve">Архивный риск проявляется в долгосрочном хранении электронных дел: необходимы процедуры обеспечения сохранности носителей/хранилищ, резервного копирования, разделения рабочих и «основных» экземпляров, а также метаданные, позволяющие восстановить контекст происхождения документа. В методических материалах по хранению электронных документов подчёркивается необходимость организационных условий хранения (вплоть до хранения в двух экземплярах) и системного учёта электронных дел. </w:t>
      </w:r>
    </w:p>
    <w:p w14:paraId="63276A6C" w14:textId="4EB4A98C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t xml:space="preserve">Киберриски становятся системными, поскольку СЭД аккумулирует управленческую, кадровую и договорную информацию. Для организаций, подпадающих под регулирование КИИ, действуют специальные требования федерального закона и подзаконных актов, а для многих инфраструктурных контуров ориентиром выступают меры защиты информации и регламентация процедур безопасности. </w:t>
      </w:r>
    </w:p>
    <w:p w14:paraId="7A2A8E84" w14:textId="5052BBA8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lastRenderedPageBreak/>
        <w:t xml:space="preserve">Кадровый и организационный риск связан с тем, что цифровизация делопроизводства требует междисциплинарной компетенции: документоведение/архивоведение + ИТ‑архитектура + информационная безопасность + управление изменениями. Исследовательские работы по управлению документами в цифровой экономике фиксируют, что «переход» </w:t>
      </w:r>
      <w:r w:rsidR="00345FC7">
        <w:rPr>
          <w:sz w:val="28"/>
          <w:szCs w:val="28"/>
        </w:rPr>
        <w:t>-</w:t>
      </w:r>
      <w:r w:rsidRPr="003F4FB2">
        <w:rPr>
          <w:sz w:val="28"/>
          <w:szCs w:val="28"/>
        </w:rPr>
        <w:t xml:space="preserve">это не только внедрение ПО, но и перестройка регламентов, полномочий, ответственности и культуры работы с документами. </w:t>
      </w:r>
    </w:p>
    <w:p w14:paraId="4DAA63A0" w14:textId="49AF1D9C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t xml:space="preserve">Наконец, отдельная группа рисков </w:t>
      </w:r>
      <w:r w:rsidR="00345FC7">
        <w:rPr>
          <w:sz w:val="28"/>
          <w:szCs w:val="28"/>
        </w:rPr>
        <w:t>-</w:t>
      </w:r>
      <w:r w:rsidRPr="003F4FB2">
        <w:rPr>
          <w:sz w:val="28"/>
          <w:szCs w:val="28"/>
        </w:rPr>
        <w:t xml:space="preserve">зависимость от программных компонентов и лицензий, включая Open Source‑части технологического стека (поиск, интеграционные шины и др.). Эволюция лицензирования Elasticsearch демонстрирует, что условия использования компонентов могут меняться (SSPL/ELv2 и добавление AGPL как опции), а значит, организация должна иметь практику правовой экспертизы ИТ‑компонентов и сопровождения их легального статуса. </w:t>
      </w:r>
    </w:p>
    <w:bookmarkEnd w:id="7"/>
    <w:p w14:paraId="756B08F2" w14:textId="77777777" w:rsidR="003F4FB2" w:rsidRDefault="003F4FB2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BCCCC4" w14:textId="0DEA6D2D" w:rsidR="003F4FB2" w:rsidRPr="00F8719F" w:rsidRDefault="003F4FB2" w:rsidP="00F8719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3947171"/>
      <w:r w:rsidRPr="00F871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Кейсы внедрения, рекомендации и выводы</w:t>
      </w:r>
      <w:bookmarkEnd w:id="9"/>
    </w:p>
    <w:p w14:paraId="1208344D" w14:textId="1F28EFF7" w:rsidR="003F4FB2" w:rsidRPr="003F4FB2" w:rsidRDefault="003F4FB2" w:rsidP="003F4FB2">
      <w:pPr>
        <w:pStyle w:val="FirstParagraph"/>
        <w:spacing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F4FB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Практика внедрения СЭД в РФ показывает повторяющийся «эффектный профиль»: ускорение прохождения документов и визирования, рост исполнительской дисциплины, снижение бумажных затрат и повышение прозрачности управленческих процессов. Это не столько «автоматизация канцелярии», сколько перевод управленческих действий (поручение, согласование, контроль, отчётность) в цифровой след. </w:t>
      </w:r>
    </w:p>
    <w:p w14:paraId="5FCB312F" w14:textId="5FE6B748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t xml:space="preserve">В госсекторе показателен региональный кейс внедрения СЭД «Дело» в Орловская область: по сообщению вендора, построение единой региональной системы электронного документооборота на базе СЭД велось с 2021 года, к системе подключены органы исполнительной власти и муниципалитеты, а результатом названы сокращение времени обработки и визирования, снижение потребления бумаги и расходных материалов. Для аналитического реферата важно, что акцент делается на «сетевом эффекте» </w:t>
      </w:r>
      <w:r w:rsidR="00345FC7">
        <w:rPr>
          <w:sz w:val="28"/>
          <w:szCs w:val="28"/>
        </w:rPr>
        <w:t>-</w:t>
      </w:r>
      <w:r w:rsidRPr="003F4FB2">
        <w:rPr>
          <w:sz w:val="28"/>
          <w:szCs w:val="28"/>
        </w:rPr>
        <w:t xml:space="preserve">единая среда для органов власти и муниципалитетов усиливает управляемость и сопоставимость процессов. </w:t>
      </w:r>
    </w:p>
    <w:p w14:paraId="112AAF4B" w14:textId="4182656B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t xml:space="preserve">В образовательном секторе репрезентативен кейс внедрения «1С:Документооборот государственного учреждения» в Тюменский государственный медицинский университет: опубликованы количественные эффекты по отдельным процессам (например, сокращение времени подготовки документов по движению студенческого состава на 20% и по оплате труда на 12%), а также организационные результаты (ввод регламентных документов и рост вовлечённости персонала). Это иллюстрирует важный тезис: эффект достигается не «покупкой ПО», а связкой «ПО + методология + регламенты + интеграции». </w:t>
      </w:r>
    </w:p>
    <w:p w14:paraId="2D939435" w14:textId="2429EC8A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t>В коммерческом секторе можно выделить кейс внедрения электронного документооборота на базе Directum RX в ООО «ФЗ Иммуннолекс»</w:t>
      </w:r>
      <w:r w:rsidR="00B61E89" w:rsidRPr="00B61E89">
        <w:rPr>
          <w:sz w:val="28"/>
          <w:szCs w:val="28"/>
        </w:rPr>
        <w:t xml:space="preserve"> </w:t>
      </w:r>
      <w:r w:rsidR="00B61E89" w:rsidRPr="003F4FB2">
        <w:rPr>
          <w:sz w:val="28"/>
          <w:szCs w:val="28"/>
        </w:rPr>
        <w:t xml:space="preserve"> </w:t>
      </w:r>
      <w:r w:rsidRPr="003F4FB2">
        <w:rPr>
          <w:sz w:val="28"/>
          <w:szCs w:val="28"/>
        </w:rPr>
        <w:t xml:space="preserve">(фармацевтическая компания): в форме интервью обсуждаются мотивы цифровизации и организационные изменения, связанные с переходом на </w:t>
      </w:r>
      <w:r w:rsidRPr="003F4FB2">
        <w:rPr>
          <w:sz w:val="28"/>
          <w:szCs w:val="28"/>
        </w:rPr>
        <w:lastRenderedPageBreak/>
        <w:t xml:space="preserve">электронные процессы и управляемый документооборот. Для аналитического реферата важно, что в таких кейсах часто доминируют требования качества, прослеживаемости и управляемости документации </w:t>
      </w:r>
      <w:r w:rsidR="00345FC7">
        <w:rPr>
          <w:sz w:val="28"/>
          <w:szCs w:val="28"/>
        </w:rPr>
        <w:t>-</w:t>
      </w:r>
      <w:r w:rsidRPr="003F4FB2">
        <w:rPr>
          <w:sz w:val="28"/>
          <w:szCs w:val="28"/>
        </w:rPr>
        <w:t xml:space="preserve">то есть «регуляторная» логика, близкая к госсектору, но реализуемая в корпоративной архитектуре. </w:t>
      </w:r>
    </w:p>
    <w:p w14:paraId="11A9856E" w14:textId="5A3A9407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t xml:space="preserve">Отдельную линию представляют муниципальные внедрения: например, на стороне вендора описан вклад СЭД в совершенствование делопроизводства в Администрация города Екатеринбурга, где подчёркиваются режим реального времени и рост исполнительской дисциплины (в кейсе </w:t>
      </w:r>
      <w:r w:rsidR="00345FC7">
        <w:rPr>
          <w:sz w:val="28"/>
          <w:szCs w:val="28"/>
        </w:rPr>
        <w:t>-</w:t>
      </w:r>
      <w:r w:rsidRPr="003F4FB2">
        <w:rPr>
          <w:sz w:val="28"/>
          <w:szCs w:val="28"/>
        </w:rPr>
        <w:t>«до 99%»). Это демонстрирует традиционную «метрику успеха» делопроизводства: управляемость сроков и ответственности.</w:t>
      </w:r>
    </w:p>
    <w:p w14:paraId="2F708E13" w14:textId="771F2BFA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t xml:space="preserve">На уровне государственной архитектуры важен запуск ЕИП ГосЭДО и ГИС ТОР СЭД как типовых решений для делопроизводства и межведомственного взаимодействия, а также закрепление единых форматов обмена приказами Минцифры/ФСО. Показательно, что в публичных материалах подчёркивается масштаб подключений к единому пространству и рост зрелости СЭД в органах власти, что фактически делает межведомственный формат и транспортный контейнер «внешним стандартом», обязательным к учёту при внедрениях. </w:t>
      </w:r>
    </w:p>
    <w:p w14:paraId="0C0742D3" w14:textId="047CAD09" w:rsidR="003F4FB2" w:rsidRPr="003F4FB2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sz w:val="28"/>
          <w:szCs w:val="28"/>
        </w:rPr>
        <w:t>Рекомендации для практики можно сформулировать как управленческо‑правовой «контур внедрения», минимизирующий риски и повышающий отдачу: 1) начинать с инвентаризации документопотоков и привязки каждого вида документа к правовому режиму (подпись, срок хранения, требования к формату, контуры обмена);</w:t>
      </w:r>
      <w:r w:rsidRPr="003F4FB2">
        <w:rPr>
          <w:sz w:val="28"/>
          <w:szCs w:val="28"/>
        </w:rPr>
        <w:br/>
        <w:t>2) проектировать справочники и номенклатуру дел как «скелет» маршрутов и контроля;</w:t>
      </w:r>
      <w:r w:rsidRPr="003F4FB2">
        <w:rPr>
          <w:sz w:val="28"/>
          <w:szCs w:val="28"/>
        </w:rPr>
        <w:br/>
        <w:t>3) заранее согласовывать электронные форматы обмена (особенно по межведомственным требованиям) и планировать переходы по датам вступления новых форматов (например, 01.09.2026 для версии 3.0);</w:t>
      </w:r>
      <w:r w:rsidRPr="003F4FB2">
        <w:rPr>
          <w:sz w:val="28"/>
          <w:szCs w:val="28"/>
        </w:rPr>
        <w:br/>
        <w:t xml:space="preserve">4) обеспечивать «юридическую жизнеспособность» электронных документов </w:t>
      </w:r>
      <w:r w:rsidRPr="003F4FB2">
        <w:rPr>
          <w:sz w:val="28"/>
          <w:szCs w:val="28"/>
        </w:rPr>
        <w:lastRenderedPageBreak/>
        <w:t>(процедуры подписи/проверки/хранения, управление сертификатами, учёт требований к операторам ЭДО);</w:t>
      </w:r>
      <w:r w:rsidRPr="003F4FB2">
        <w:rPr>
          <w:sz w:val="28"/>
          <w:szCs w:val="28"/>
        </w:rPr>
        <w:br/>
        <w:t xml:space="preserve">5) строить ИБ‑контур (доступы, журналы, резервное копирование, модель угроз; для КИИ </w:t>
      </w:r>
      <w:r w:rsidR="00345FC7">
        <w:rPr>
          <w:sz w:val="28"/>
          <w:szCs w:val="28"/>
        </w:rPr>
        <w:t>-</w:t>
      </w:r>
      <w:r w:rsidRPr="003F4FB2">
        <w:rPr>
          <w:sz w:val="28"/>
          <w:szCs w:val="28"/>
        </w:rPr>
        <w:t>соответствие требованиям регулятора);</w:t>
      </w:r>
      <w:r w:rsidRPr="003F4FB2">
        <w:rPr>
          <w:sz w:val="28"/>
          <w:szCs w:val="28"/>
        </w:rPr>
        <w:br/>
        <w:t xml:space="preserve">6) закреплять всё это в локальных регламентах и программе обучения пользователей. </w:t>
      </w:r>
    </w:p>
    <w:p w14:paraId="67ADC2C8" w14:textId="77777777" w:rsidR="00F149CB" w:rsidRDefault="003F4FB2" w:rsidP="003F4FB2">
      <w:pPr>
        <w:pStyle w:val="a0"/>
        <w:spacing w:line="360" w:lineRule="auto"/>
        <w:ind w:firstLine="425"/>
        <w:jc w:val="both"/>
        <w:rPr>
          <w:sz w:val="28"/>
          <w:szCs w:val="28"/>
        </w:rPr>
      </w:pPr>
      <w:r w:rsidRPr="003F4FB2">
        <w:rPr>
          <w:b/>
          <w:bCs/>
          <w:sz w:val="28"/>
          <w:szCs w:val="28"/>
        </w:rPr>
        <w:t>Выводы сводятся к следующему:</w:t>
      </w:r>
      <w:r w:rsidRPr="003F4FB2">
        <w:rPr>
          <w:sz w:val="28"/>
          <w:szCs w:val="28"/>
        </w:rPr>
        <w:t xml:space="preserve"> отечественное делопроизводство прошло путь от письменной фиксации и канцелярских практик к нормативно‑и технологически «платформенному» управлению документами. На современном этапе делопроизводство в РФ становится частью цифрового управления: юридическая значимость обеспечивается электронной подписью и формализованными форматами обмена, эффективность </w:t>
      </w:r>
      <w:r w:rsidR="00345FC7">
        <w:rPr>
          <w:sz w:val="28"/>
          <w:szCs w:val="28"/>
        </w:rPr>
        <w:t>-</w:t>
      </w:r>
      <w:r w:rsidRPr="003F4FB2">
        <w:rPr>
          <w:sz w:val="28"/>
          <w:szCs w:val="28"/>
        </w:rPr>
        <w:t xml:space="preserve">СЭД/ECM и автоматизацией маршрутов, устойчивость </w:t>
      </w:r>
      <w:r w:rsidR="00345FC7">
        <w:rPr>
          <w:sz w:val="28"/>
          <w:szCs w:val="28"/>
        </w:rPr>
        <w:t>-</w:t>
      </w:r>
      <w:r w:rsidRPr="003F4FB2">
        <w:rPr>
          <w:sz w:val="28"/>
          <w:szCs w:val="28"/>
        </w:rPr>
        <w:t xml:space="preserve">архивными требованиями и практиками безопасности. Критический фактор успеха </w:t>
      </w:r>
      <w:r w:rsidR="00345FC7">
        <w:rPr>
          <w:sz w:val="28"/>
          <w:szCs w:val="28"/>
        </w:rPr>
        <w:t>-</w:t>
      </w:r>
      <w:r w:rsidRPr="003F4FB2">
        <w:rPr>
          <w:sz w:val="28"/>
          <w:szCs w:val="28"/>
        </w:rPr>
        <w:t xml:space="preserve">согласование нормативного, организационного и технического уровней: цифровая система без регламентов и правового анализа воспроизводит хаос быстрее, чем бумага, а регламенты без технологической реализации остаются декларацией. </w:t>
      </w:r>
    </w:p>
    <w:p w14:paraId="439E0901" w14:textId="77777777" w:rsidR="00F149CB" w:rsidRDefault="00F149CB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2251D0" w14:textId="07A1D040" w:rsidR="00F149CB" w:rsidRDefault="00F149CB" w:rsidP="00BD215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3947172"/>
      <w:r w:rsidRPr="00BD21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Результаты работы в ЭОС «Дело»</w:t>
      </w:r>
      <w:bookmarkEnd w:id="10"/>
    </w:p>
    <w:p w14:paraId="65BEDAE0" w14:textId="77777777" w:rsidR="00F34132" w:rsidRPr="00F34132" w:rsidRDefault="00F34132" w:rsidP="00F34132"/>
    <w:p w14:paraId="0D9B5CEA" w14:textId="226BD84D" w:rsidR="003F4FB2" w:rsidRPr="00F34132" w:rsidRDefault="00F34132" w:rsidP="00F34132">
      <w:pPr>
        <w:pStyle w:val="a0"/>
        <w:spacing w:line="360" w:lineRule="auto"/>
        <w:jc w:val="both"/>
        <w:rPr>
          <w:b/>
          <w:bCs/>
          <w:sz w:val="36"/>
          <w:szCs w:val="36"/>
        </w:rPr>
      </w:pPr>
      <w:r w:rsidRPr="00F34132">
        <w:rPr>
          <w:b/>
          <w:bCs/>
          <w:sz w:val="28"/>
          <w:szCs w:val="28"/>
        </w:rPr>
        <w:t>Справочники: Подразделения, Кабинеты, Группы документов</w:t>
      </w:r>
      <w:hyperlink r:id="rId6"/>
    </w:p>
    <w:p w14:paraId="59110032" w14:textId="77777777" w:rsidR="00F34132" w:rsidRDefault="00F34132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 w:rsidRPr="00F34132">
        <w:rPr>
          <w:b/>
          <w:bCs/>
          <w:sz w:val="28"/>
          <w:szCs w:val="28"/>
        </w:rPr>
        <w:drawing>
          <wp:inline distT="0" distB="0" distL="0" distR="0" wp14:anchorId="3A709B95" wp14:editId="1559E9FF">
            <wp:extent cx="5940425" cy="3091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132">
        <w:rPr>
          <w:b/>
          <w:bCs/>
          <w:sz w:val="28"/>
          <w:szCs w:val="28"/>
        </w:rPr>
        <w:drawing>
          <wp:inline distT="0" distB="0" distL="0" distR="0" wp14:anchorId="52376B05" wp14:editId="666B3F74">
            <wp:extent cx="5940425" cy="3094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33C3" w14:textId="77777777" w:rsidR="00F34132" w:rsidRDefault="00F34132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 w:rsidRPr="00F34132">
        <w:rPr>
          <w:b/>
          <w:bCs/>
          <w:sz w:val="28"/>
          <w:szCs w:val="28"/>
        </w:rPr>
        <w:lastRenderedPageBreak/>
        <w:drawing>
          <wp:inline distT="0" distB="0" distL="0" distR="0" wp14:anchorId="7FE10ECA" wp14:editId="3B02046D">
            <wp:extent cx="5940425" cy="3075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BE55" w14:textId="141138C5" w:rsidR="00F34132" w:rsidRDefault="00F34132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 w:rsidRPr="00F34132">
        <w:rPr>
          <w:b/>
          <w:bCs/>
          <w:sz w:val="28"/>
          <w:szCs w:val="28"/>
        </w:rPr>
        <w:drawing>
          <wp:inline distT="0" distB="0" distL="0" distR="0" wp14:anchorId="5D69990B" wp14:editId="2407FEB6">
            <wp:extent cx="5940425" cy="30848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5838" w14:textId="61356A15" w:rsidR="003F4FB2" w:rsidRDefault="00F34132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bookmarkStart w:id="11" w:name="_GoBack"/>
      <w:bookmarkEnd w:id="11"/>
      <w:r w:rsidRPr="00F34132">
        <w:rPr>
          <w:b/>
          <w:bCs/>
          <w:sz w:val="28"/>
          <w:szCs w:val="28"/>
        </w:rPr>
        <w:lastRenderedPageBreak/>
        <w:drawing>
          <wp:inline distT="0" distB="0" distL="0" distR="0" wp14:anchorId="59339F5D" wp14:editId="2C27F5E6">
            <wp:extent cx="5940425" cy="3113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FB2">
        <w:rPr>
          <w:b/>
          <w:bCs/>
          <w:sz w:val="28"/>
          <w:szCs w:val="28"/>
        </w:rPr>
        <w:br w:type="page"/>
      </w:r>
    </w:p>
    <w:p w14:paraId="3176FC14" w14:textId="5BDDF267" w:rsidR="003F4FB2" w:rsidRPr="00F8719F" w:rsidRDefault="003F4FB2" w:rsidP="00F8719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23947173"/>
      <w:r w:rsidRPr="00F871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источников</w:t>
      </w:r>
      <w:bookmarkEnd w:id="12"/>
    </w:p>
    <w:p w14:paraId="18B70192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https://docs.cntd.ru/document/901932680</w:t>
      </w:r>
    </w:p>
    <w:p w14:paraId="3FC3F2CA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https://pravo.gov.ru/proxy/ips/?docbody=&amp;nd=102089077</w:t>
      </w:r>
    </w:p>
    <w:p w14:paraId="5B46046D" w14:textId="00CD8BD2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https://docs.historyrussia.org/ru/nodes/335422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generalnyy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reglament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fevralya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27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dnya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1720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goda</w:t>
      </w:r>
    </w:p>
    <w:p w14:paraId="2824A9A8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https://publication.pravo.gov.ru/document/0001202408200007</w:t>
      </w:r>
    </w:p>
    <w:p w14:paraId="218D66A1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https://files.stroyinf.ru/Data/844/84468.pdf</w:t>
      </w:r>
    </w:p>
    <w:p w14:paraId="48A6E4BC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https://pravo.gov.ru/proxy/ips/?docbody=&amp;nd=102146610</w:t>
      </w:r>
    </w:p>
    <w:p w14:paraId="45A1ED9E" w14:textId="7B684DB2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https://archaeolog.ru/press/articles/k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70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letiyu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nakhodki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pervoy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berestyanoy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gramoty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v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novgorode</w:t>
      </w:r>
    </w:p>
    <w:p w14:paraId="7025A0C2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https://iriran.ru/files/vorobiev.pdf</w:t>
      </w:r>
    </w:p>
    <w:p w14:paraId="6E9534ED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https://www.rsuh.ru/upload/main/fdta/monograph.pdf</w:t>
      </w:r>
    </w:p>
    <w:p w14:paraId="6D1C4B13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https://pravo.gov.ru/proxy/ips/?backlink=1&amp;docbody=&amp;nd=102130295&amp;prevDoc=102151998&amp;rdk=0</w:t>
      </w:r>
    </w:p>
    <w:p w14:paraId="71791627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https://publication.pravo.gov.ru/document/view/0001201707260023</w:t>
      </w:r>
    </w:p>
    <w:p w14:paraId="4D53D8EB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https://publication.pravo.gov.ru/document/view/0001201509100001</w:t>
      </w:r>
    </w:p>
    <w:p w14:paraId="24B587DD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https://publication.pravo.gov.ru/document/0001202010210009</w:t>
      </w:r>
    </w:p>
    <w:p w14:paraId="6329F09D" w14:textId="115703B2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https://v8.1c.ru/doc8/vozmozhnosti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1s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dokumentooborota/</w:t>
      </w:r>
    </w:p>
    <w:p w14:paraId="5B00B43D" w14:textId="27EA479F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https://digital.gov.ru/activity/czifrovizacziya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gosudarstva/czifrovaya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transformacziya/czifrovye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platformy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i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resheniya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dlya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gosorganov/edinoe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informaczionnoe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prostranstvo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gosudarstvennogo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elektronnogo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dokumentooborota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eip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gosedo/gis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gosedo</w:t>
      </w:r>
    </w:p>
    <w:p w14:paraId="450F7601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https://publication.pravo.gov.ru/document/0001201509240021</w:t>
      </w:r>
    </w:p>
    <w:p w14:paraId="7D2EE923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https://www.nalog.gov.ru/rn77/related_activities/el_doc/to_operator/11305068/</w:t>
      </w:r>
    </w:p>
    <w:p w14:paraId="0BB2EFAF" w14:textId="1B1F5F4B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https://digital.gov.ru/documents/prikaz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minczifry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rossii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%E2%84%96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1026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o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vvode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v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ekspluatacziyu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gosudarstvennoj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informaczionnoj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sistemy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tipovoe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oblachnoe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reshenie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sistemy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elektronnogo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dokumentooborota</w:t>
      </w:r>
    </w:p>
    <w:p w14:paraId="6AA1CBBD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https://www.elastic.co/docs/reference/elasticsearch</w:t>
      </w:r>
    </w:p>
    <w:p w14:paraId="5C11F038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https://zakupki.gov.ru/epz/main/public/home.html</w:t>
      </w:r>
    </w:p>
    <w:p w14:paraId="37397706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https://gasu.gov.ru/</w:t>
      </w:r>
    </w:p>
    <w:p w14:paraId="3298037D" w14:textId="77777777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lastRenderedPageBreak/>
        <w:t>https://www.directum.ru/solution/rx_document_management</w:t>
      </w:r>
    </w:p>
    <w:p w14:paraId="0CCA91E1" w14:textId="57B22132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https://eos.ru/eos_products/eos_delo/sed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delo/</w:t>
      </w:r>
    </w:p>
    <w:p w14:paraId="524B1272" w14:textId="0501F205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https://eos.ru/resheniya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elektronnaya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podpis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i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zashhita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informaczii/</w:t>
      </w:r>
    </w:p>
    <w:p w14:paraId="250F719D" w14:textId="3F3F15DF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https://eos.ru/wp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content/uploads/2023/10/rukpol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820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delo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web.pdf</w:t>
      </w:r>
    </w:p>
    <w:p w14:paraId="5C86517A" w14:textId="6D981650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https://eos.ru/eos_products/eos_delo/czeny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sed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delo/</w:t>
      </w:r>
    </w:p>
    <w:p w14:paraId="27F08D10" w14:textId="437E56EE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https://eos.ru/press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center/news/vnedrenie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sed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delo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v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organah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vlasti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orlovskoj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oblasti/</w:t>
      </w:r>
    </w:p>
    <w:p w14:paraId="52606D30" w14:textId="1CDA7754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https://www.directum.ru/blog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post/directumrx__novoe_oblachnoe_reshenie_dlja_dokumentooborota</w:t>
      </w:r>
    </w:p>
    <w:p w14:paraId="5849A420" w14:textId="4602822B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https://uc1.1c.ru/course/elektronnaya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podpis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v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1s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dokumentooborot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i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1s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edo/</w:t>
      </w:r>
    </w:p>
    <w:p w14:paraId="1C2A49BA" w14:textId="1FCA1F4E" w:rsidR="003259A5" w:rsidRPr="003259A5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https://v8.1c.ru/platforma/tonkiy</w:t>
      </w:r>
      <w:r w:rsidR="00345FC7">
        <w:rPr>
          <w:sz w:val="28"/>
          <w:szCs w:val="28"/>
        </w:rPr>
        <w:t>-</w:t>
      </w:r>
      <w:r w:rsidRPr="003259A5">
        <w:rPr>
          <w:sz w:val="28"/>
          <w:szCs w:val="28"/>
        </w:rPr>
        <w:t>klient/</w:t>
      </w:r>
    </w:p>
    <w:p w14:paraId="74318B23" w14:textId="4D4D3C5E" w:rsidR="003F4FB2" w:rsidRPr="003F4FB2" w:rsidRDefault="003259A5" w:rsidP="003259A5">
      <w:pPr>
        <w:pStyle w:val="aa"/>
        <w:numPr>
          <w:ilvl w:val="0"/>
          <w:numId w:val="1"/>
        </w:numPr>
        <w:spacing w:line="360" w:lineRule="auto"/>
        <w:ind w:left="426" w:hanging="568"/>
        <w:jc w:val="both"/>
        <w:rPr>
          <w:sz w:val="28"/>
          <w:szCs w:val="28"/>
        </w:rPr>
      </w:pPr>
      <w:r w:rsidRPr="003259A5">
        <w:rPr>
          <w:sz w:val="28"/>
          <w:szCs w:val="28"/>
        </w:rPr>
        <w:t>https://docs.cntd.ru/document/1200142871</w:t>
      </w:r>
    </w:p>
    <w:sectPr w:rsidR="003F4FB2" w:rsidRPr="003F4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1502BC"/>
    <w:multiLevelType w:val="hybridMultilevel"/>
    <w:tmpl w:val="210A00E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74"/>
    <w:rsid w:val="002C4A92"/>
    <w:rsid w:val="003259A5"/>
    <w:rsid w:val="00345FC7"/>
    <w:rsid w:val="003F4FB2"/>
    <w:rsid w:val="00451E75"/>
    <w:rsid w:val="006D1711"/>
    <w:rsid w:val="0093266D"/>
    <w:rsid w:val="00A25F39"/>
    <w:rsid w:val="00B61E89"/>
    <w:rsid w:val="00B923BC"/>
    <w:rsid w:val="00BD215B"/>
    <w:rsid w:val="00C62274"/>
    <w:rsid w:val="00F149CB"/>
    <w:rsid w:val="00F34132"/>
    <w:rsid w:val="00F8719F"/>
    <w:rsid w:val="00F9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595F8"/>
  <w15:chartTrackingRefBased/>
  <w15:docId w15:val="{B5BE675A-1EE6-4B3C-904A-6C8B7C68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3B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1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3F4FB2"/>
    <w:pPr>
      <w:keepNext/>
      <w:keepLines/>
      <w:widowControl/>
      <w:autoSpaceDE/>
      <w:autoSpaceDN/>
      <w:adjustRightInd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link w:val="a5"/>
    <w:uiPriority w:val="10"/>
    <w:qFormat/>
    <w:rsid w:val="00B923BC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5">
    <w:name w:val="Заголовок Знак"/>
    <w:basedOn w:val="a1"/>
    <w:link w:val="a4"/>
    <w:uiPriority w:val="10"/>
    <w:rsid w:val="00B923BC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1">
    <w:name w:val="Body Text 2"/>
    <w:basedOn w:val="a"/>
    <w:link w:val="22"/>
    <w:uiPriority w:val="99"/>
    <w:semiHidden/>
    <w:unhideWhenUsed/>
    <w:rsid w:val="00B923BC"/>
    <w:pPr>
      <w:widowControl/>
      <w:autoSpaceDE/>
      <w:autoSpaceDN/>
      <w:adjustRightInd/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semiHidden/>
    <w:rsid w:val="00B923B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99"/>
    <w:qFormat/>
    <w:rsid w:val="00B923BC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B923BC"/>
    <w:rPr>
      <w:rFonts w:ascii="Times New Roman" w:hAnsi="Times New Roman" w:cs="Times New Roman" w:hint="default"/>
      <w:sz w:val="26"/>
    </w:rPr>
  </w:style>
  <w:style w:type="table" w:styleId="a7">
    <w:name w:val="Table Grid"/>
    <w:basedOn w:val="a2"/>
    <w:rsid w:val="00B923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0"/>
    <w:qFormat/>
    <w:rsid w:val="00F96AD1"/>
    <w:pPr>
      <w:widowControl/>
      <w:autoSpaceDE/>
      <w:autoSpaceDN/>
      <w:adjustRightInd/>
      <w:spacing w:before="36" w:after="36"/>
    </w:pPr>
    <w:rPr>
      <w:rFonts w:asciiTheme="minorHAnsi" w:eastAsiaTheme="minorHAnsi" w:hAnsiTheme="minorHAnsi" w:cstheme="minorBidi"/>
      <w:lang w:val="ru" w:eastAsia="en-US"/>
    </w:rPr>
  </w:style>
  <w:style w:type="table" w:customStyle="1" w:styleId="Table">
    <w:name w:val="Table"/>
    <w:semiHidden/>
    <w:unhideWhenUsed/>
    <w:qFormat/>
    <w:rsid w:val="00F96AD1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a8">
    <w:name w:val="Hyperlink"/>
    <w:basedOn w:val="a1"/>
    <w:uiPriority w:val="99"/>
    <w:rsid w:val="00F96AD1"/>
    <w:rPr>
      <w:color w:val="4472C4" w:themeColor="accent1"/>
    </w:rPr>
  </w:style>
  <w:style w:type="paragraph" w:styleId="a0">
    <w:name w:val="Body Text"/>
    <w:basedOn w:val="a"/>
    <w:link w:val="a9"/>
    <w:uiPriority w:val="99"/>
    <w:semiHidden/>
    <w:unhideWhenUsed/>
    <w:rsid w:val="00F96AD1"/>
    <w:pPr>
      <w:spacing w:after="120"/>
    </w:pPr>
  </w:style>
  <w:style w:type="character" w:customStyle="1" w:styleId="a9">
    <w:name w:val="Основной текст Знак"/>
    <w:basedOn w:val="a1"/>
    <w:link w:val="a0"/>
    <w:uiPriority w:val="99"/>
    <w:semiHidden/>
    <w:rsid w:val="00F96AD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3F4F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/>
    </w:rPr>
  </w:style>
  <w:style w:type="paragraph" w:customStyle="1" w:styleId="FirstParagraph">
    <w:name w:val="First Paragraph"/>
    <w:basedOn w:val="a0"/>
    <w:next w:val="a0"/>
    <w:qFormat/>
    <w:rsid w:val="003F4FB2"/>
    <w:pPr>
      <w:widowControl/>
      <w:autoSpaceDE/>
      <w:autoSpaceDN/>
      <w:adjustRightInd/>
      <w:spacing w:before="180" w:after="180"/>
    </w:pPr>
    <w:rPr>
      <w:rFonts w:asciiTheme="minorHAnsi" w:eastAsiaTheme="minorHAnsi" w:hAnsiTheme="minorHAnsi" w:cstheme="minorBidi"/>
      <w:lang w:val="ru" w:eastAsia="en-US"/>
    </w:rPr>
  </w:style>
  <w:style w:type="paragraph" w:styleId="aa">
    <w:name w:val="List Paragraph"/>
    <w:basedOn w:val="a"/>
    <w:uiPriority w:val="34"/>
    <w:qFormat/>
    <w:rsid w:val="003F4FB2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F871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3259A5"/>
    <w:pPr>
      <w:widowControl/>
      <w:autoSpaceDE/>
      <w:autoSpaceDN/>
      <w:adjustRightInd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259A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historyrussia.org/ru/nodes/335422-generalnyy-reglament-fevralya-27-dnya-1720-god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C7B0C-17BB-4651-9E4F-D76B6C6A7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26</Pages>
  <Words>4667</Words>
  <Characters>26602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12</cp:revision>
  <dcterms:created xsi:type="dcterms:W3CDTF">2026-03-09T07:41:00Z</dcterms:created>
  <dcterms:modified xsi:type="dcterms:W3CDTF">2026-03-09T09:28:00Z</dcterms:modified>
</cp:coreProperties>
</file>