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76" w:name="content"/>
    <w:bookmarkStart w:id="75" w:name="Xc17af796813a4b00fafb8023f63b6d6897d5309"/>
    <w:p>
      <w:pPr>
        <w:pStyle w:val="Heading1"/>
      </w:pPr>
      <w:r>
        <w:t xml:space="preserve">Возникновение и развитие отечественного делопроизводства и его цифровая трансформация в Российская Федерация</w:t>
      </w:r>
      <w:hyperlink r:id="rId21">
        <w:r>
          <w:rPr>
            <w:rStyle w:val="Hyperlink"/>
          </w:rPr>
          <w:t xml:space="preserve">[1]</w:t>
        </w:r>
      </w:hyperlink>
    </w:p>
    <w:bookmarkStart w:id="26" w:name="исполнительная-аннотация"/>
    <w:p>
      <w:pPr>
        <w:pStyle w:val="Heading2"/>
      </w:pPr>
      <w:r>
        <w:t xml:space="preserve">Исполнительная аннотация</w:t>
      </w:r>
    </w:p>
    <w:p>
      <w:pPr>
        <w:pStyle w:val="FirstParagraph"/>
      </w:pPr>
      <w:r>
        <w:t xml:space="preserve">Отечественное делопроизводство формировалось как управленческая технология фиксации, движения и контроля исполнения документов: от актово‑грамотной культуры Древней Руси и приказного делопроизводства Московского государства — к регламентированным канцелярским практикам эпохи реформ Пётр I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и стандартизированным системам советского периода. Вехой «юридической» институционализации коллежского делопроизводства стал «Генеральный регламент» 1720 года, впервые комплексно задавший порядок работы учреждений и обращения документов.</w:t>
      </w:r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С конца XX — начала XXI века центр тяжести сместился к электронным документам и управлению их жизненным циклом: нормативное поле задают федеральные законы об архивном деле, об информации и об электронной подписи, а также подзаконные «Правила делопроизводства» для федеральных органов исполнительной власти.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Одновременно государство выстраивает «единый цифровой контур» межведомственного и внутриведомственного обмена, закрепляя требования к форматам электронных документов и транспортных контейнеров (в частности, через совместные приказы в связке Минцифры—ФСО), причём новые форматы (версия 3.0) имеют установленную дату вступления — 1 сентября 2026 года.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На современном этапе делопроизводство в РФ опирается на СЭД/ECM‑платформы (например, «ДЕЛО», «1С:Документооборот», Directum RX, Docsvision), электронную подпись (включая КЭП), операторский ЭДО для юридически значимого обмена с контрагентами, облачную инфраструктуру (в том числе государственные типовые решения), OCR/интеллектуальную обработку и полнотекстовый поиск (часто с использованием специализированных поисковых движков). При этом ключевые риски — юридическая значимость и долгосрочная сохранность электронных документов, совместимость форматов, информационная безопасность и кадровая готовность организаций.</w:t>
      </w:r>
      <w:r>
        <w:t xml:space="preserve"> </w:t>
      </w:r>
      <w:hyperlink r:id="rId25">
        <w:r>
          <w:rPr>
            <w:rStyle w:val="Hyperlink"/>
          </w:rPr>
          <w:t xml:space="preserve">[6]</w:t>
        </w:r>
      </w:hyperlink>
    </w:p>
    <w:bookmarkEnd w:id="26"/>
    <w:bookmarkStart w:id="29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В российской традиции делопроизводство понимается как организационно‑технологическая сфера управления документами: совокупность работ по документированию управленческой деятельности и по организации работы с документами (их созданию, обработке, учёту, движению, контролю исполнения, хранению и подготовке к передаче в архив). Современная терминология и понятийное поле формализуются национальными стандартами: в частности, ГОСТ‑серия в области «делопроизводства и архивного дела» задаёт определения базовых категорий, необходимых для единообразия практик в организациях.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Методологически делопроизводство в РФ исторически тесно связано с архивным делом: управленческий документ рассматривается как объект с жизненным циклом — от возникновения в деятельности органа/организации до отбора к хранению и передачи на архивное хранение (либо уничтожения по установленным срокам). Поэтому ключевые изменения в делопроизводстве ХХI века обусловлены не только внедрением ИТ, но и «перепрошивкой» требований к аутентичности, целостности, воспроизводимости и юридической значимости документов при переходе от бумаги к электронному виду.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Условно современное делопроизводство в РФ существует в «гибридной» модели: часть документов продолжает создаваться и храниться на бумаге (или в виде электронных образов), часть — в виде подлинных электронных документов, подписанных электронной подписью, а значительная доля обмена с государством и контрагентами проходит по регламентированным электронным каналам. Это порождает ключевой вопрос практики: как обеспечить юридическую значимость и долгосрочную сохранность электронного документа при постоянной технологической и нормативной динамике.</w:t>
      </w:r>
      <w:r>
        <w:t xml:space="preserve"> </w:t>
      </w:r>
      <w:hyperlink r:id="rId28">
        <w:r>
          <w:rPr>
            <w:rStyle w:val="Hyperlink"/>
          </w:rPr>
          <w:t xml:space="preserve">[9]</w:t>
        </w:r>
      </w:hyperlink>
    </w:p>
    <w:bookmarkEnd w:id="29"/>
    <w:bookmarkStart w:id="33" w:name="исторический-обзор"/>
    <w:p>
      <w:pPr>
        <w:pStyle w:val="Heading2"/>
      </w:pPr>
      <w:r>
        <w:t xml:space="preserve">Исторический обзор</w:t>
      </w:r>
    </w:p>
    <w:p>
      <w:pPr>
        <w:pStyle w:val="FirstParagraph"/>
      </w:pPr>
      <w:r>
        <w:t xml:space="preserve">Древнерусский период задаёт культурно‑технологическую основу письменной коммуникации: важнейшими свидетельствами повседневной и хозяйственно‑правовой письменности стали берестяные грамоты XI–XV вв., обнаруженные археологами и представившие массив «подлинников» (а не поздних списков). Их значение — в демонстрации ранней массовой грамотности и устойчивых практик фиксации сообщений, поручений, долговых и хозяйственных отношений.</w:t>
      </w:r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С усилением московской государственности (XV–XVII вв.) складывается приказная система управления и соответствующее «приказное делопроизводство»: документооборот становится элементом административной машины, формируются устойчивые канцелярские процедуры, «книжные» формы учёта и регистрирования, практики хранения и поиска в делах. Это переход от разрозненной актовой письменности к институционализированной работе с документом как инструментом управления.</w:t>
      </w:r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Петровские реформы создают «регламентный» поворот: введение коллегий и «Генерального регламента» (1720) закрепляет принципы организации учреждений и формализует движение дел и документов; в исследовательской традиции именно регламент рассматривается как ключевой документ, задавший модель коллежского делопроизводства и связанный с модернизацией государственного аппарата.</w:t>
      </w:r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Советский период характеризуется стремлением к унификации и стандартизации управленческой документации и процедур. В 1973 г. была разработана Единая государственная система делопроизводства (ЕГСД) как инструмент упорядочения документооборота и повышения качества документации; в 1988 г. оформляется ГСДОУ (Государственная система документационного обеспечения управления), фиксирующая принципы и требования к документированию управленческой деятельности и работе служб ДОУ. Эти проекты отражают «индустриальную» логику управления: эффективность, нормирование, типизация форм и процессов.</w:t>
      </w:r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Постсоветский переход (1990‑е — 2020‑е) связан с одновременной «рыночной» дифференциацией практик и с усилением правового регулирования электронных документов. Для анализа этого этапа показателен тезис о «пакетной» связке делопроизводства и архивного дела в ведомственных функциях и законодательстве 1990‑х и 2000‑х годов; параллельно складывается рынок отечественных СЭД/ECM и начальная инфраструктура межведомственного электронного документооборота. В 2020‑е годы государство переходит к созданию единых платформенных контуров (ГосЭДО/ЕИП) и типовых облачных решений для учреждений без собственных СЭД.</w:t>
      </w:r>
      <w:r>
        <w:t xml:space="preserve"> </w:t>
      </w:r>
      <w:hyperlink r:id="rId32">
        <w:r>
          <w:rPr>
            <w:rStyle w:val="Hyperlink"/>
          </w:rPr>
          <w:t xml:space="preserve">[14]</w:t>
        </w:r>
      </w:hyperlink>
    </w:p>
    <w:p>
      <w:pPr>
        <w:pStyle w:val="SourceCode"/>
      </w:pPr>
      <w:r>
        <w:rPr>
          <w:rStyle w:val="VerbatimChar"/>
        </w:rPr>
        <w:t xml:space="preserve">timeline</w:t>
      </w:r>
      <w:r>
        <w:br/>
      </w:r>
      <w:r>
        <w:rPr>
          <w:rStyle w:val="VerbatimChar"/>
        </w:rPr>
        <w:t xml:space="preserve">    title История отечественного делопроизводства и переход к цифровым контурам</w:t>
      </w:r>
      <w:r>
        <w:br/>
      </w:r>
      <w:r>
        <w:rPr>
          <w:rStyle w:val="VerbatimChar"/>
        </w:rPr>
        <w:t xml:space="preserve">    XI–XV вв. : берестяные грамоты и развитие письменной коммуникации</w:t>
      </w:r>
      <w:r>
        <w:br/>
      </w:r>
      <w:r>
        <w:rPr>
          <w:rStyle w:val="VerbatimChar"/>
        </w:rPr>
        <w:t xml:space="preserve">    XV–XVII вв. : приказная система и приказное делопроизводство</w:t>
      </w:r>
      <w:r>
        <w:br/>
      </w:r>
      <w:r>
        <w:rPr>
          <w:rStyle w:val="VerbatimChar"/>
        </w:rPr>
        <w:t xml:space="preserve">    1720 : "Генеральный регламент" и коллежское делопроизводство</w:t>
      </w:r>
      <w:r>
        <w:br/>
      </w:r>
      <w:r>
        <w:rPr>
          <w:rStyle w:val="VerbatimChar"/>
        </w:rPr>
        <w:t xml:space="preserve">    1973 : ЕГСД - унификация и нормирование документооборота</w:t>
      </w:r>
      <w:r>
        <w:br/>
      </w:r>
      <w:r>
        <w:rPr>
          <w:rStyle w:val="VerbatimChar"/>
        </w:rPr>
        <w:t xml:space="preserve">    1988 : ГСДОУ - принципы ДОУ и требования к службам</w:t>
      </w:r>
      <w:r>
        <w:br/>
      </w:r>
      <w:r>
        <w:rPr>
          <w:rStyle w:val="VerbatimChar"/>
        </w:rPr>
        <w:t xml:space="preserve">    2004 : 125-ФЗ об архивном деле - базовый закон для архивного хранения</w:t>
      </w:r>
      <w:r>
        <w:br/>
      </w:r>
      <w:r>
        <w:rPr>
          <w:rStyle w:val="VerbatimChar"/>
        </w:rPr>
        <w:t xml:space="preserve">    2006 : 149-ФЗ об информации и 152-ФЗ о персональных данных</w:t>
      </w:r>
      <w:r>
        <w:br/>
      </w:r>
      <w:r>
        <w:rPr>
          <w:rStyle w:val="VerbatimChar"/>
        </w:rPr>
        <w:t xml:space="preserve">    2009 : Правила делопроизводства в ФОИВ (ПП РФ № 477)</w:t>
      </w:r>
      <w:r>
        <w:br/>
      </w:r>
      <w:r>
        <w:rPr>
          <w:rStyle w:val="VerbatimChar"/>
        </w:rPr>
        <w:t xml:space="preserve">    2011 : 63-ФЗ об электронной подписи и ускорение юридически значимого ЭДО</w:t>
      </w:r>
      <w:r>
        <w:br/>
      </w:r>
      <w:r>
        <w:rPr>
          <w:rStyle w:val="VerbatimChar"/>
        </w:rPr>
        <w:t xml:space="preserve">    2020 : типовые функциональные требования к СЭД/СХЭД (Росархив № 69)</w:t>
      </w:r>
      <w:r>
        <w:br/>
      </w:r>
      <w:r>
        <w:rPr>
          <w:rStyle w:val="VerbatimChar"/>
        </w:rPr>
        <w:t xml:space="preserve">    2022–2025 : ГосЭДО/ЕИП и ГИС ТОР СЭД - государственные платформы</w:t>
      </w:r>
      <w:r>
        <w:br/>
      </w:r>
      <w:r>
        <w:rPr>
          <w:rStyle w:val="VerbatimChar"/>
        </w:rPr>
        <w:t xml:space="preserve">    01.09.2026 : вступление версии 3.0 форматов обмена (приказ Минцифры/ФСО № 611/96)</w:t>
      </w:r>
    </w:p>
    <w:p>
      <w:pPr>
        <w:pStyle w:val="FirstParagraph"/>
      </w:pPr>
      <w:r>
        <w:t xml:space="preserve">Ключевые опорные точки таймлайна (1720; 1973; 1988; 2004–2011; 2020–2026) документируются историческими источниками и нормативными актами, отражающими переход от бумажного документооборота к цифровому управлению документами и межведомственным электронным взаимодействиям.</w:t>
      </w:r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</w:p>
    <w:bookmarkEnd w:id="33"/>
    <w:bookmarkStart w:id="42" w:name="нормативноправовая-база-рф"/>
    <w:p>
      <w:pPr>
        <w:pStyle w:val="Heading2"/>
      </w:pPr>
      <w:r>
        <w:t xml:space="preserve">Нормативно‑правовая база РФ</w:t>
      </w:r>
    </w:p>
    <w:p>
      <w:pPr>
        <w:pStyle w:val="FirstParagraph"/>
      </w:pPr>
      <w:r>
        <w:t xml:space="preserve">Правовое регулирование делопроизводства в РФ строится многоуровнево: федеральные законы задают рамки статуса документов, информации и подписи; правительственные постановления устанавливают правила организации делопроизводства в органах власти; ведомственные приказы формализуют отраслевые требования, а национальные стандарты (ГОСТ) обеспечивают унификацию терминологии и оформления управленческой документации.</w:t>
      </w:r>
      <w:r>
        <w:t xml:space="preserve"> </w:t>
      </w:r>
      <w:hyperlink r:id="rId34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t xml:space="preserve">Базовыми федеральными законами для «цифрового» делопроизводства являются: закон об архивном деле (определяет принципы организации архивного хранения и связи с управленческой документацией), закон об информации (задаёт общую рамку обращения информации и ИТ), закон об электронной подписи (устанавливает виды ЭП и правила признания), а также закон о персональных данных (как минимум — для кадрового и договорного контуров).</w:t>
      </w:r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Для организаций, относящихся к объектам КИИ, добавляется специальный контур требований по безопасности критической информационной инфраструктуры и подзаконное регулирование.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Для федеральных органов исполнительной власти ключевым документом остаётся постановление Правительства РФ от 15.06.2009 № 477, утвердившее Правила делопроизводства в ФОИВ: оно задаёт обязательную основу построения регламентов, маршрутов и процедур обработки документов (включая организацию контроля).</w:t>
      </w:r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На уровне стандартов особое значение имеют: (а) ГОСТ по терминологии делопроизводства/архивного дела (актуализированный стандарт 2025 года продолжает линию унификации понятийного аппарата), (б) ГОСТ по оформлению организационно‑распорядительных документов, который кодифицирует требования к реквизитам и текстовому оформлению управленческих документов. Эти стандарты служат мостом между «бумажной» и «электронной» формами: даже при цифровом создании документ должен сохранять структурные признаки, позволяющие идентифицировать его вид, автора, дату и юридическую природу.</w:t>
      </w:r>
      <w:r>
        <w:t xml:space="preserve"> </w:t>
      </w:r>
      <w:hyperlink r:id="rId27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Ведомственные приказы, влияющие на практику делопроизводства, концентрируются в двух областях: архивное хранение и межведомственный обмен электронными документами. Для архивного контура существенны приказы о правилах организации хранения и о перечнях типовых управленческих архивных документов со сроками хранения, а также типовые функциональные требования к СЭД/системам хранения электронных документов, утверждённые Росархив</w:t>
      </w:r>
      <w:hyperlink r:id="rId22">
        <w:r>
          <w:rPr>
            <w:rStyle w:val="Hyperlink"/>
          </w:rPr>
          <w:t xml:space="preserve">[21]</w:t>
        </w:r>
      </w:hyperlink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Практический смысл этих требований — задать минимальный состав функций, метаданных и процедур, обеспечивающих сохранность, аутентичность и управляемость электронных дел.</w:t>
      </w:r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Для межведомственного электронного документооборота принципиальны «требования к организационно‑техническому взаимодействию» при обмене документами в электронном виде. Эволюция нормативной линии прослеживается от приказа Минкомсвязи/ФСО № 186/258 (2015) к приказу Минцифры России</w:t>
      </w:r>
      <w:hyperlink r:id="rId38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и ФСО России</w:t>
      </w:r>
      <w:hyperlink r:id="rId39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№ 667/233 (2020; зарегистрирован в 2021) и далее к приказу Минцифры/ФСО № 611/96 (12.07.2024; официальная публикация 20.08.2024), который закрепляет актуализированные требования и форматы, включая форматы транспортного контейнера. Отдельно важно, что в этих требованиях фиксируются конкретные форматы файлов (например, для основного текста — PDF/A‑1) и переходные сроки: версия формата 3.0 вступает в силу с 01.09.2026.</w:t>
      </w:r>
      <w:r>
        <w:t xml:space="preserve"> </w:t>
      </w:r>
      <w:hyperlink r:id="rId40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t xml:space="preserve">Регулирование юридически значимого ЭДО с контрагентами во многом опирается на «операторскую» модель. Требования к оператору электронного документооборота утверждены ФНС России</w:t>
      </w:r>
      <w:hyperlink r:id="rId25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приказом № ЕД‑7‑26/546@ (08.06.2021; вступление в силу с 01.03.2022; действие до 01.03.2028), а форматы представления ряда первичных и иных документов (включая счета‑фактуры) в электронной форме закреплены приказами ФНС (например, линия ММВ‑7‑6/36@ с актуализациями). Это связывает делопроизводство с налоговым комплаенсом: документ должен быть не только создан и согласован, но и пригоден для обмена и подтверждения юридических фактов.</w:t>
      </w:r>
      <w:r>
        <w:t xml:space="preserve"> </w:t>
      </w:r>
      <w:hyperlink r:id="rId41">
        <w:r>
          <w:rPr>
            <w:rStyle w:val="Hyperlink"/>
          </w:rPr>
          <w:t xml:space="preserve">[28]</w:t>
        </w:r>
      </w:hyperlink>
    </w:p>
    <w:bookmarkEnd w:id="42"/>
    <w:bookmarkStart w:id="62" w:name="Xb5f1b6f151c807eeeb44557b1d3d2ee0bd94336"/>
    <w:p>
      <w:pPr>
        <w:pStyle w:val="Heading2"/>
      </w:pPr>
      <w:r>
        <w:t xml:space="preserve">Современные технологии и организационные практики</w:t>
      </w:r>
    </w:p>
    <w:p>
      <w:pPr>
        <w:pStyle w:val="FirstParagraph"/>
      </w:pPr>
      <w:r>
        <w:t xml:space="preserve">Современное делопроизводство в РФ всё чаще реализуется через СЭД/ECM, где документ существует как связка «контент + метаданные + маршрут + статусы + журналы действий». Это соответствует логике, закрепляемой типовыми функциональными требованиями к СЭД и системам хранения электронных документов: документ должен быть регистрируем, маршрутизируем, контролируем по исполнению, защищаем по доступу и воспроизводим при проверках и архивном хранении.</w:t>
      </w:r>
      <w:r>
        <w:t xml:space="preserve"> </w:t>
      </w:r>
      <w:hyperlink r:id="rId37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Практическая «сборка» делопроизводства в системе обычно начинается с нормализации справочников и классификаторов (структура организации, подразделения, должности, номенклатура дел, виды документов, корреспонденты/контрагенты, места хранения/«кабинеты» и др.). Именно справочная модель задаёт основу для автоматизации маршрутов: по виду документа выбирается процедура регистрации, «типовой путь» согласования, контрольные сроки и правила хранения. Такой подход согласуется с общими принципами регламентации делопроизводства в органах власти и с методическими рекомендациями архивной системы.</w:t>
      </w:r>
      <w:r>
        <w:t xml:space="preserve"> </w:t>
      </w:r>
      <w:hyperlink r:id="rId34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Электронная подпись — центральный механизм юридической значимости электронного документа. Закон об электронной подписи устанавливает правовые режимы применения ЭП и тем самым превращает «электронный файл» в юридически значимый документ при соблюдении условий подписания и проверки. На практике в СЭД это реализуется через интеграцию с криптографическими средствами и сервисами проверки (сертификаты, проверка цепочки доверия, журналы подписи, при необходимости — временные метки).</w:t>
      </w:r>
      <w:r>
        <w:t xml:space="preserve"> </w:t>
      </w:r>
      <w:hyperlink r:id="rId28">
        <w:r>
          <w:rPr>
            <w:rStyle w:val="Hyperlink"/>
          </w:rPr>
          <w:t xml:space="preserve">[30]</w:t>
        </w:r>
      </w:hyperlink>
    </w:p>
    <w:p>
      <w:pPr>
        <w:pStyle w:val="BodyText"/>
      </w:pPr>
      <w:r>
        <w:t xml:space="preserve">Текущая государственная цифровизация усиливает «платформенную» составляющую делопроизводства. Помимо ведомственных СЭД, развивается ЕИП/ГосЭДО как единое информационное пространство государственного электронного документооборота, а для организаций без собственной СЭД предусмотрено типовое облачное решение (ГИС ТОР СЭД), описываемое как инструмент обеспечения базовых процессов делопроизводства с возможностью межведомственного взаимодействия. Этот тренд институционально подкрепляется вводом в эксплуатацию государственной системы «Типовое облачное решение системы электронного документооборота» и описанием отдельных подсистем/проектов на ресурсах Минцифры.</w:t>
      </w:r>
      <w:r>
        <w:t xml:space="preserve"> </w:t>
      </w:r>
      <w:hyperlink r:id="rId43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t xml:space="preserve">На уровне конкретных технологий внутри СЭД заметны четыре «ускорителя зрелости»:</w:t>
      </w:r>
      <w:r>
        <w:t xml:space="preserve"> </w:t>
      </w:r>
      <w:r>
        <w:t xml:space="preserve">1) OCR и интеллектуальная обработка входящих потоков (скан‑потоки, классификация, извлечение реквизитов);</w:t>
      </w:r>
      <w:r>
        <w:br/>
      </w:r>
      <w:r>
        <w:t xml:space="preserve">2) полнотекстовый и семантический поиск;</w:t>
      </w:r>
      <w:r>
        <w:br/>
      </w:r>
      <w:r>
        <w:t xml:space="preserve">3) интеграция с внешними контурами ЭДО/гос‑платформ (межведомственные форматы, операторы ЭДО, реестры);</w:t>
      </w:r>
      <w:r>
        <w:br/>
      </w:r>
      <w:r>
        <w:t xml:space="preserve">4) web‑доступ и облачные архитектуры как ответ на распределённость и дистанционную работу.</w:t>
      </w:r>
      <w:r>
        <w:t xml:space="preserve"> </w:t>
      </w:r>
      <w:hyperlink r:id="rId25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OCR‑контур в российских внедрениях обычно описывается как прикладная задача «оцифровать и превратить в управляемый документ»: распознать текст, выделить реквизиты, классифицировать и направить по маршруту. Показательно, что вендоры прямо связывают OCR с минимизацией потерь информации и с дальнейшим полнотекстовым поиском внутри СЭД.</w:t>
      </w:r>
      <w:r>
        <w:t xml:space="preserve"> </w:t>
      </w:r>
      <w:hyperlink r:id="rId25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t xml:space="preserve">Полнотекстовый поиск в крупных хранилищах документов технологически тяготеет к специализированным поисковым движкам. Elasticsearch описывается как распределённый поисковый и аналитический движок, оптимизированный для быстрого индексирования и поиска (включая работу с разнородными данными в почти реальном времени), что делает его типовой «кандидатурой» для слоя поиска в документоориентированных системах. При этом его лицензионная эволюция (изменения 2021 года и добавление AGPL как опции в 2024 году) подчёркивает важность управления лицензиями Open Source‑компонентов в корпоративных внедрениях.</w:t>
      </w:r>
      <w:r>
        <w:t xml:space="preserve"> </w:t>
      </w:r>
      <w:hyperlink r:id="rId44">
        <w:r>
          <w:rPr>
            <w:rStyle w:val="Hyperlink"/>
          </w:rPr>
          <w:t xml:space="preserve">[34]</w:t>
        </w:r>
      </w:hyperlink>
    </w:p>
    <w:p>
      <w:pPr>
        <w:pStyle w:val="BodyText"/>
      </w:pPr>
      <w:r>
        <w:t xml:space="preserve">Интеграции с государственными системами становятся обязательным элементом делопроизводства для многих организаций. В сфере закупок единая информационная система (ЕИС) функционирует как официальный портал, где публикуются данные и документы по закупочным процедурам; правовая рамка ЕИС закреплена в 44‑ФЗ. Следовательно, внутреннее делопроизводство (подготовка, согласование, хранение закупочных документов) должно быть синхронизировано с внешним контуром ЕИС — и по формату, и по срокам, и по юридической значимости.</w:t>
      </w:r>
      <w:r>
        <w:t xml:space="preserve"> </w:t>
      </w:r>
      <w:hyperlink r:id="rId45">
        <w:r>
          <w:rPr>
            <w:rStyle w:val="Hyperlink"/>
          </w:rPr>
          <w:t xml:space="preserve">[35]</w:t>
        </w:r>
      </w:hyperlink>
    </w:p>
    <w:p>
      <w:pPr>
        <w:pStyle w:val="BodyText"/>
      </w:pPr>
      <w:r>
        <w:t xml:space="preserve">В широком смысле «интеграция с ГАС» иллюстрируется тем, что государственные автоматизированные системы (например, ГАС «Управление» как система информационно‑аналитической поддержки решений и ГАС «Правосудие» как контур судебного делопроизводства и сервисов) формируют внешние требования к документам и данным, которые должны корректно попадать в управленческий документооборот организаций и органов власти. Для ГАС «Управление» назначение и структура закреплены постановлением Правительства РФ № 1088 от 25.12.2009; это показывает, что документы и показатели, циркулирующие между уровнями управления, требуют стандартизированного представления и контроля.</w:t>
      </w:r>
      <w:r>
        <w:t xml:space="preserve"> </w:t>
      </w:r>
      <w:hyperlink r:id="rId46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t xml:space="preserve">Ниже приведена сравнительная таблица четырёх распространённых СЭД/ECM‑решений, используемых в РФ, по критериям, наиболее значимым для делопроизводства (функционал, ЭП, развертывание, стоимость, аудитория). Стоимость указана ориентировочно по открытым прайс‑данным вендоров и официальным страницам.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 (вендор)</w:t>
            </w:r>
          </w:p>
        </w:tc>
        <w:tc>
          <w:tcPr/>
          <w:p>
            <w:pPr>
              <w:pStyle w:val="Compact"/>
            </w:pPr>
            <w:r>
              <w:t xml:space="preserve">Функционал для делопроизводства (кратко)</w:t>
            </w:r>
          </w:p>
        </w:tc>
        <w:tc>
          <w:tcPr/>
          <w:p>
            <w:pPr>
              <w:pStyle w:val="Compact"/>
            </w:pPr>
            <w:r>
              <w:t xml:space="preserve">Поддержка ЭП/криптографии</w:t>
            </w:r>
          </w:p>
        </w:tc>
        <w:tc>
          <w:tcPr/>
          <w:p>
            <w:pPr>
              <w:pStyle w:val="Compact"/>
            </w:pPr>
            <w:r>
              <w:t xml:space="preserve">Развертывание</w:t>
            </w:r>
          </w:p>
        </w:tc>
        <w:tc>
          <w:tcPr/>
          <w:p>
            <w:pPr>
              <w:pStyle w:val="Compact"/>
            </w:pPr>
            <w:r>
              <w:t xml:space="preserve">Стоимость (ориентировочно, лицензии)</w:t>
            </w:r>
          </w:p>
        </w:tc>
        <w:tc>
          <w:tcPr/>
          <w:p>
            <w:pPr>
              <w:pStyle w:val="Compact"/>
            </w:pPr>
            <w:r>
              <w:t xml:space="preserve">Целевая аудитория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«ДЕЛО» (Электронные офисные системы</w:t>
            </w:r>
            <w:hyperlink r:id="rId47">
              <w:r>
                <w:rPr>
                  <w:rStyle w:val="Hyperlink"/>
                </w:rPr>
                <w:t xml:space="preserve">[37]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Управление документами и поручениями, контроль исполнения, в т.ч. управление заседаниями/протоколами; расширяемость опциями (web‑доступ, внешние контуры, аналитика).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Подписание и проверка ЭП реализуются через опции «ЭП и шифрование»/сервер проверки; поддержка сертифицированных СКЗИ (например, КриптоПро CSP и др.).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Обычно on‑premise; возможен web‑доступ (подсистема ДЕЛО‑Web).</w:t>
            </w:r>
            <w:r>
              <w:t xml:space="preserve"> </w:t>
            </w:r>
            <w:hyperlink r:id="rId50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Серверная лицензия: 28 000 руб.; рабочие места (ЛГО) — от 13 300 руб./место (диапазоны зависят от объёма).</w:t>
            </w:r>
            <w:r>
              <w:t xml:space="preserve"> </w:t>
            </w:r>
            <w:hyperlink r:id="rId51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Госорганы, регионы/муниципалитеты, крупные учреждения с требованиями к регистрации/контролю.</w:t>
            </w:r>
            <w:r>
              <w:t xml:space="preserve"> </w:t>
            </w:r>
            <w:hyperlink r:id="rId52">
              <w:r>
                <w:rPr>
                  <w:rStyle w:val="Hyperlink"/>
                </w:rPr>
                <w:t xml:space="preserve">[42]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«1С:Документооборот» (Фирма «1С»</w:t>
            </w:r>
            <w:hyperlink r:id="rId53">
              <w:r>
                <w:rPr>
                  <w:rStyle w:val="Hyperlink"/>
                </w:rPr>
                <w:t xml:space="preserve">[43]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ECM‑система для автоматизации типовых процессов работы с документами, контроля исполнения, регламентации управленческой деятельности; сильная сторона — интеграции в экосистеме 1С и механизмы интеграции (API/обмен).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[44]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Практика применения ЭП поддерживается в экосистеме (обучающие материалы и сценарии подписания/ЭДО внутри 1С), а юридически значимый обмен обеспечивается сервисами ЭДО.</w:t>
            </w:r>
            <w:r>
              <w:t xml:space="preserve"> </w:t>
            </w:r>
            <w:hyperlink r:id="rId54">
              <w:r>
                <w:rPr>
                  <w:rStyle w:val="Hyperlink"/>
                </w:rPr>
                <w:t xml:space="preserve">[45]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On‑premise на платформе «1С:Предприятие»; удалённая работа через тонкий/веб‑клиент; возможны облачные модели размещения через сервисную инфраструктуру/провайдеров.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[46]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РРЦ: «ПРОФ» 55 300 руб.; «КОРП» 286 900 руб.; «гос. учреждения» 180 500 руб. (конфигурации, без проекта внедрения).</w:t>
            </w:r>
            <w:r>
              <w:t xml:space="preserve"> </w:t>
            </w:r>
            <w:hyperlink r:id="rId56">
              <w:r>
                <w:rPr>
                  <w:rStyle w:val="Hyperlink"/>
                </w:rPr>
                <w:t xml:space="preserve">[47]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Бизнес и госсектор, особенно организации с несколькими системами 1С и потребностью в «сквозных» интеграциях.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[48]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Directum RX (Directum</w:t>
            </w:r>
            <w:hyperlink r:id="rId57">
              <w:r>
                <w:rPr>
                  <w:rStyle w:val="Hyperlink"/>
                </w:rPr>
                <w:t xml:space="preserve">[49]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Управление документами и процессами; поддержка подписания документов ЭП, сценарии делопроизводства/согласования и цифровых процессов в подразделениях.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[50]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На уровне решения описывается работа с разными режимами ЭП (в т.ч. усиленная), что связывается с криптографической защитой и сертификатами.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[51]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Возможны on‑premise и облачные модели (SaaS упоминается как модель поставки; практики выбора «облако vs локально» обсуждаются вендором).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[52]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Прайс‑лист опубликован в виде PDF; стоимость зависит от состава модулей/лицензий и условий поставки.</w:t>
            </w:r>
            <w:r>
              <w:t xml:space="preserve"> </w:t>
            </w:r>
            <w:hyperlink r:id="rId58">
              <w:r>
                <w:rPr>
                  <w:rStyle w:val="Hyperlink"/>
                </w:rPr>
                <w:t xml:space="preserve">[53]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Средние и крупные организации, которым важны процессный подход и масштабируемость цифровых контуров.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[54]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Docsvision (Docsvision</w:t>
            </w:r>
            <w:hyperlink r:id="rId47">
              <w:r>
                <w:rPr>
                  <w:rStyle w:val="Hyperlink"/>
                </w:rPr>
                <w:t xml:space="preserve">[55]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СЭД/ECM‑платформа; web‑клиент как полнофункциональное рабочее место через браузер; вендор описывает эффекты внедрения для делопроизводства и контроля исполнения.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[56]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Подписание карточек/документов ЭП поддерживается, включая инструменты подписания и сценарии для юридически значимого документооборота.</w:t>
            </w:r>
            <w:r>
              <w:t xml:space="preserve"> </w:t>
            </w:r>
            <w:hyperlink r:id="rId60">
              <w:r>
                <w:rPr>
                  <w:rStyle w:val="Hyperlink"/>
                </w:rPr>
                <w:t xml:space="preserve">[57]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Обычно on‑premise; доступ через web‑клиент (кроссплатформенно) и интеграционные модули.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[58]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Конкурентные лицензии (бессрочно): «Стандартная» 11 600 руб./пользователь; «Корпоративная» 20 100; «ECM» 28 900 (плюс стоимость внедрения).</w:t>
            </w:r>
            <w:r>
              <w:t xml:space="preserve"> </w:t>
            </w:r>
            <w:hyperlink r:id="rId57">
              <w:r>
                <w:rPr>
                  <w:rStyle w:val="Hyperlink"/>
                </w:rPr>
                <w:t xml:space="preserve">[59]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Госсектор и крупный бизнес; проекты внедрения указываются в т.ч. для городских администраций и вузов.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[60]</w:t>
              </w:r>
            </w:hyperlink>
          </w:p>
        </w:tc>
      </w:tr>
    </w:tbl>
    <w:p>
      <w:pPr>
        <w:pStyle w:val="BodyText"/>
      </w:pPr>
      <w:r>
        <w:t xml:space="preserve">Таблица показывает структурное сходство СЭД как класса (регистрация, маршрутизация, контроль, хранение) при различиях в модели лицензирования, архитектуре доступа и «экосистемности» интеграций. Именно эти различия обычно определяют «стоимость владения» и риски внедрения: лицензии — лишь часть бюджета, значимая доля затрат приходится на обследование процессов, настройку маршрутов, интеграции и обучение пользователей.</w:t>
      </w:r>
      <w:r>
        <w:t xml:space="preserve"> </w:t>
      </w:r>
      <w:hyperlink r:id="rId57">
        <w:r>
          <w:rPr>
            <w:rStyle w:val="Hyperlink"/>
          </w:rPr>
          <w:t xml:space="preserve">[61]</w:t>
        </w:r>
      </w:hyperlink>
    </w:p>
    <w:bookmarkEnd w:id="62"/>
    <w:bookmarkStart w:id="66" w:name="проблемы-и-риски"/>
    <w:p>
      <w:pPr>
        <w:pStyle w:val="Heading2"/>
      </w:pPr>
      <w:r>
        <w:t xml:space="preserve">Проблемы и риски</w:t>
      </w:r>
    </w:p>
    <w:p>
      <w:pPr>
        <w:pStyle w:val="FirstParagraph"/>
      </w:pPr>
      <w:r>
        <w:t xml:space="preserve">Ключевой правовой риск цифрового делопроизводства — обеспечение юридической значимости электронных документов при соблюдении требований закона об электронной подписи и отраслевых требований к обмену электронными документами. На практике это означает необходимость корректного выбора вида подписи, управления сертификатами, ведения журналов подписания и обеспечения воспроизводимой проверки подписи в горизонте времени, сопоставимом со сроками хранения документов.</w:t>
      </w:r>
      <w:r>
        <w:t xml:space="preserve"> </w:t>
      </w:r>
      <w:hyperlink r:id="rId28">
        <w:r>
          <w:rPr>
            <w:rStyle w:val="Hyperlink"/>
          </w:rPr>
          <w:t xml:space="preserve">[62]</w:t>
        </w:r>
      </w:hyperlink>
    </w:p>
    <w:p>
      <w:pPr>
        <w:pStyle w:val="BodyText"/>
      </w:pPr>
      <w:r>
        <w:t xml:space="preserve">Технический риск связан с совместимостью форматов и «долгоживущих» представлений документа. В межведомственном обмене нормативно закрепляются конкретные форматы (например, PDF/A‑1 для текста) и транспортные контейнеры, а переход на новые версии форматов имеет жёсткие даты (например, 01.09.2026 для версии 3.0). Соответственно, организации должны заранее планировать модернизацию СЭД, иначе формально корректный документ может стать «непринимаемым» внешним контуром.</w:t>
      </w:r>
      <w:r>
        <w:t xml:space="preserve"> </w:t>
      </w:r>
      <w:hyperlink r:id="rId63">
        <w:r>
          <w:rPr>
            <w:rStyle w:val="Hyperlink"/>
          </w:rPr>
          <w:t xml:space="preserve">[63]</w:t>
        </w:r>
      </w:hyperlink>
    </w:p>
    <w:p>
      <w:pPr>
        <w:pStyle w:val="BodyText"/>
      </w:pPr>
      <w:r>
        <w:t xml:space="preserve">Архивный риск проявляется в долгосрочном хранении электронных дел: необходимы процедуры обеспечения сохранности носителей/хранилищ, резервного копирования, разделения рабочих и «основных» экземпляров, а также метаданные, позволяющие восстановить контекст происхождения документа. В методических материалах по хранению электронных документов подчёркивается необходимость организационных условий хранения (вплоть до хранения в двух экземплярах) и системного учёта электронных дел.</w:t>
      </w:r>
      <w:r>
        <w:t xml:space="preserve"> </w:t>
      </w:r>
      <w:hyperlink r:id="rId64">
        <w:r>
          <w:rPr>
            <w:rStyle w:val="Hyperlink"/>
          </w:rPr>
          <w:t xml:space="preserve">[64]</w:t>
        </w:r>
      </w:hyperlink>
    </w:p>
    <w:p>
      <w:pPr>
        <w:pStyle w:val="BodyText"/>
      </w:pPr>
      <w:r>
        <w:t xml:space="preserve">Киберриски становятся системными, поскольку СЭД аккумулирует управленческую, кадровую и договорную информацию. Для организаций, подпадающих под регулирование КИИ, действуют специальные требования федерального закона и подзаконных актов, а для многих инфраструктурных контуров ориентиром выступают меры защиты информации и регламентация процедур безопасности.</w:t>
      </w:r>
      <w:r>
        <w:t xml:space="preserve"> </w:t>
      </w:r>
      <w:hyperlink r:id="rId35">
        <w:r>
          <w:rPr>
            <w:rStyle w:val="Hyperlink"/>
          </w:rPr>
          <w:t xml:space="preserve">[65]</w:t>
        </w:r>
      </w:hyperlink>
    </w:p>
    <w:p>
      <w:pPr>
        <w:pStyle w:val="BodyText"/>
      </w:pPr>
      <w:r>
        <w:t xml:space="preserve">Кадровый и организационный риск связан с тем, что цифровизация делопроизводства требует междисциплинарной компетенции: документоведение/архивоведение + ИТ‑архитектура + информационная безопасность + управление изменениями. Исследовательские работы по управлению документами в цифровой экономике фиксируют, что «переход» — это не только внедрение ПО, но и перестройка регламентов, полномочий, ответственности и культуры работы с документами.</w:t>
      </w:r>
      <w:r>
        <w:t xml:space="preserve"> </w:t>
      </w:r>
      <w:hyperlink r:id="rId32">
        <w:r>
          <w:rPr>
            <w:rStyle w:val="Hyperlink"/>
          </w:rPr>
          <w:t xml:space="preserve">[66]</w:t>
        </w:r>
      </w:hyperlink>
    </w:p>
    <w:p>
      <w:pPr>
        <w:pStyle w:val="BodyText"/>
      </w:pPr>
      <w:r>
        <w:t xml:space="preserve">Наконец, отдельная группа рисков — зависимость от программных компонентов и лицензий, включая Open Source‑части технологического стека (поиск, интеграционные шины и др.). Эволюция лицензирования Elasticsearch демонстрирует, что условия использования компонентов могут меняться (SSPL/ELv2 и добавление AGPL как опции), а значит, организация должна иметь практику правовой экспертизы ИТ‑компонентов и сопровождения их легального статуса.</w:t>
      </w:r>
      <w:r>
        <w:t xml:space="preserve"> </w:t>
      </w:r>
      <w:hyperlink r:id="rId65">
        <w:r>
          <w:rPr>
            <w:rStyle w:val="Hyperlink"/>
          </w:rPr>
          <w:t xml:space="preserve">[67]</w:t>
        </w:r>
      </w:hyperlink>
    </w:p>
    <w:bookmarkEnd w:id="66"/>
    <w:bookmarkStart w:id="74" w:name="кейсы-внедрения-рекомендации-и-выводы"/>
    <w:p>
      <w:pPr>
        <w:pStyle w:val="Heading2"/>
      </w:pPr>
      <w:r>
        <w:t xml:space="preserve">Кейсы внедрения, рекомендации и выводы</w:t>
      </w:r>
    </w:p>
    <w:p>
      <w:pPr>
        <w:pStyle w:val="FirstParagraph"/>
      </w:pPr>
      <w:r>
        <w:t xml:space="preserve">Практика внедрения СЭД в РФ показывает повторяющийся «эффектный профиль»: ускорение прохождения документов и визирования, рост исполнительской дисциплины, снижение бумажных затрат и повышение прозрачности управленческих процессов. Это не столько «автоматизация канцелярии», сколько перевод управленческих действий (поручение, согласование, контроль, отчётность) в цифровой след.</w:t>
      </w:r>
      <w:r>
        <w:t xml:space="preserve"> </w:t>
      </w:r>
      <w:hyperlink r:id="rId52">
        <w:r>
          <w:rPr>
            <w:rStyle w:val="Hyperlink"/>
          </w:rPr>
          <w:t xml:space="preserve">[68]</w:t>
        </w:r>
      </w:hyperlink>
    </w:p>
    <w:p>
      <w:pPr>
        <w:pStyle w:val="BodyText"/>
      </w:pPr>
      <w:r>
        <w:t xml:space="preserve">В госсекторе показателен региональный кейс внедрения СЭД «Дело» в Орловская область</w:t>
      </w:r>
      <w:hyperlink r:id="rId32">
        <w:r>
          <w:rPr>
            <w:rStyle w:val="Hyperlink"/>
          </w:rPr>
          <w:t xml:space="preserve">[69]</w:t>
        </w:r>
      </w:hyperlink>
      <w:r>
        <w:t xml:space="preserve">: по сообщению вендора, построение единой региональной системы электронного документооборота на базе СЭД велось с 2021 года, к системе подключены органы исполнительной власти и муниципалитеты, а результатом названы сокращение времени обработки и визирования, снижение потребления бумаги и расходных материалов. Для аналитического реферата важно, что акцент делается на «сетевом эффекте» — единая среда для органов власти и муниципалитетов усиливает управляемость и сопоставимость процессов.</w:t>
      </w:r>
      <w:r>
        <w:t xml:space="preserve"> </w:t>
      </w:r>
      <w:hyperlink r:id="rId52">
        <w:r>
          <w:rPr>
            <w:rStyle w:val="Hyperlink"/>
          </w:rPr>
          <w:t xml:space="preserve">[70]</w:t>
        </w:r>
      </w:hyperlink>
    </w:p>
    <w:p>
      <w:pPr>
        <w:pStyle w:val="BodyText"/>
      </w:pPr>
      <w:r>
        <w:t xml:space="preserve">В образовательном секторе репрезентативен кейс внедрения «1С:Документооборот государственного учреждения» в Тюменский государственный медицинский университет</w:t>
      </w:r>
      <w:hyperlink r:id="rId28">
        <w:r>
          <w:rPr>
            <w:rStyle w:val="Hyperlink"/>
          </w:rPr>
          <w:t xml:space="preserve">[71]</w:t>
        </w:r>
      </w:hyperlink>
      <w:r>
        <w:t xml:space="preserve">: опубликованы количественные эффекты по отдельным процессам (например, сокращение времени подготовки документов по движению студенческого состава на 20% и по оплате труда на 12%), а также организационные результаты (ввод регламентных документов и рост вовлечённости персонала). Это иллюстрирует важный тезис: эффект достигается не «покупкой ПО», а связкой «ПО + методология + регламенты + интеграции».</w:t>
      </w:r>
      <w:r>
        <w:t xml:space="preserve"> </w:t>
      </w:r>
      <w:hyperlink r:id="rId67">
        <w:r>
          <w:rPr>
            <w:rStyle w:val="Hyperlink"/>
          </w:rPr>
          <w:t xml:space="preserve">[72]</w:t>
        </w:r>
      </w:hyperlink>
    </w:p>
    <w:p>
      <w:pPr>
        <w:pStyle w:val="BodyText"/>
      </w:pPr>
      <w:r>
        <w:t xml:space="preserve">В коммерческом секторе можно выделить кейс внедрения электронного документооборота на базе Directum RX в ООО «ФЗ Иммуннолекс»</w:t>
      </w:r>
      <w:hyperlink r:id="rId22">
        <w:r>
          <w:rPr>
            <w:rStyle w:val="Hyperlink"/>
          </w:rPr>
          <w:t xml:space="preserve">[73]</w:t>
        </w:r>
      </w:hyperlink>
      <w:r>
        <w:t xml:space="preserve"> </w:t>
      </w:r>
      <w:r>
        <w:t xml:space="preserve">(фармацевтическая компания): в форме интервью обсуждаются мотивы цифровизации и организационные изменения, связанные с переходом на электронные процессы и управляемый документооборот. Для аналитического реферата важно, что в таких кейсах часто доминируют требования качества, прослеживаемости и управляемости документации — то есть «регуляторная» логика, близкая к госсектору, но реализуемая в корпоративной архитектуре.</w:t>
      </w:r>
      <w:r>
        <w:t xml:space="preserve"> </w:t>
      </w:r>
      <w:hyperlink r:id="rId68">
        <w:r>
          <w:rPr>
            <w:rStyle w:val="Hyperlink"/>
          </w:rPr>
          <w:t xml:space="preserve">[74]</w:t>
        </w:r>
      </w:hyperlink>
    </w:p>
    <w:p>
      <w:pPr>
        <w:pStyle w:val="BodyText"/>
      </w:pPr>
      <w:r>
        <w:t xml:space="preserve">Отдельную линию представляют муниципальные внедрения: например, на стороне вендора описан вклад СЭД в совершенствование делопроизводства в Администрация города Екатеринбурга</w:t>
      </w:r>
      <w:hyperlink r:id="rId34">
        <w:r>
          <w:rPr>
            <w:rStyle w:val="Hyperlink"/>
          </w:rPr>
          <w:t xml:space="preserve">[75]</w:t>
        </w:r>
      </w:hyperlink>
      <w:r>
        <w:t xml:space="preserve">, где подчёркиваются режим реального времени и рост исполнительской дисциплины (в кейсе — «до 99%»). Это демонстрирует традиционную «метрику успеха» делопроизводства: управляемость сроков и ответственности.</w:t>
      </w:r>
      <w:r>
        <w:t xml:space="preserve"> </w:t>
      </w:r>
      <w:hyperlink r:id="rId61">
        <w:r>
          <w:rPr>
            <w:rStyle w:val="Hyperlink"/>
          </w:rPr>
          <w:t xml:space="preserve">[76]</w:t>
        </w:r>
      </w:hyperlink>
    </w:p>
    <w:p>
      <w:pPr>
        <w:pStyle w:val="BodyText"/>
      </w:pPr>
      <w:r>
        <w:t xml:space="preserve">На уровне государственной архитектуры важен запуск ЕИП ГосЭДО и ГИС ТОР СЭД как типовых решений для делопроизводства и межведомственного взаимодействия, а также закрепление единых форматов обмена приказами Минцифры/ФСО. Показательно, что в публичных материалах подчёркивается масштаб подключений к единому пространству и рост зрелости СЭД в органах власти, что фактически делает межведомственный формат и транспортный контейнер «внешним стандартом», обязательным к учёту при внедрениях.</w:t>
      </w:r>
      <w:r>
        <w:t xml:space="preserve"> </w:t>
      </w:r>
      <w:hyperlink r:id="rId39">
        <w:r>
          <w:rPr>
            <w:rStyle w:val="Hyperlink"/>
          </w:rPr>
          <w:t xml:space="preserve">[77]</w:t>
        </w:r>
      </w:hyperlink>
    </w:p>
    <w:p>
      <w:pPr>
        <w:pStyle w:val="BodyText"/>
      </w:pPr>
      <w:r>
        <w:t xml:space="preserve">Рекомендации для практики можно сформулировать как управленческо‑правовой «контур внедрения», минимизирующий риски и повышающий отдачу:</w:t>
      </w:r>
      <w:r>
        <w:t xml:space="preserve"> </w:t>
      </w:r>
      <w:r>
        <w:t xml:space="preserve">1) начинать с инвентаризации документопотоков и привязки каждого вида документа к правовому режиму (подпись, срок хранения, требования к формату, контуры обмена);</w:t>
      </w:r>
      <w:r>
        <w:br/>
      </w:r>
      <w:r>
        <w:t xml:space="preserve">2) проектировать справочники и номенклатуру дел как «скелет» маршрутов и контроля;</w:t>
      </w:r>
      <w:r>
        <w:br/>
      </w:r>
      <w:r>
        <w:t xml:space="preserve">3) заранее согласовывать электронные форматы обмена (особенно по межведомственным требованиям) и планировать переходы по датам вступления новых форматов (например, 01.09.2026 для версии 3.0);</w:t>
      </w:r>
      <w:r>
        <w:br/>
      </w:r>
      <w:r>
        <w:t xml:space="preserve">4) обеспечивать «юридическую жизнеспособность» электронных документов (процедуры подписи/проверки/хранения, управление сертификатами, учёт требований к операторам ЭДО);</w:t>
      </w:r>
      <w:r>
        <w:br/>
      </w:r>
      <w:r>
        <w:t xml:space="preserve">5) строить ИБ‑контур (доступы, журналы, резервное копирование, модель угроз; для КИИ — соответствие требованиям регулятора);</w:t>
      </w:r>
      <w:r>
        <w:br/>
      </w:r>
      <w:r>
        <w:t xml:space="preserve">6) закреплять всё это в локальных регламентах и программе обучения пользователей.</w:t>
      </w:r>
      <w:r>
        <w:t xml:space="preserve"> </w:t>
      </w:r>
      <w:hyperlink r:id="rId34">
        <w:r>
          <w:rPr>
            <w:rStyle w:val="Hyperlink"/>
          </w:rPr>
          <w:t xml:space="preserve">[78]</w:t>
        </w:r>
      </w:hyperlink>
    </w:p>
    <w:p>
      <w:pPr>
        <w:pStyle w:val="BodyText"/>
      </w:pPr>
      <w:r>
        <w:t xml:space="preserve">Выводы сводятся к следующему: отечественное делопроизводство прошло путь от письменной фиксации и канцелярских практик к нормативно‑и технологически «платформенному» управлению документами. На современном этапе делопроизводство в РФ становится частью цифрового управления: юридическая значимость обеспечивается электронной подписью и формализованными форматами обмена, эффективность — СЭД/ECM и автоматизацией маршрутов, устойчивость — архивными требованиями и практиками безопасности. Критический фактор успеха — согласование нормативного, организационного и технического уровней: цифровая система без регламентов и правового анализа воспроизводит хаос быстрее, чем бумага, а регламенты без технологической реализации остаются декларацией.</w:t>
      </w:r>
      <w:r>
        <w:t xml:space="preserve"> </w:t>
      </w:r>
      <w:hyperlink r:id="rId23">
        <w:r>
          <w:rPr>
            <w:rStyle w:val="Hyperlink"/>
          </w:rPr>
          <w:t xml:space="preserve">[79]</w:t>
        </w:r>
      </w:hyperlink>
    </w:p>
    <w:p>
      <w:pPr>
        <w:pStyle w:val="BodyText"/>
      </w:pPr>
      <w:r>
        <w:t xml:space="preserve">Рекомендуемые источники и ссылки (приоритет — официальные документы и сайты):</w:t>
      </w:r>
      <w:r>
        <w:t xml:space="preserve"> </w:t>
      </w:r>
      <w:r>
        <w:t xml:space="preserve">- Федеральный закон № 125‑ФЗ «Об архивном деле в Российской Федерации».</w:t>
      </w:r>
      <w:r>
        <w:t xml:space="preserve"> </w:t>
      </w:r>
      <w:hyperlink r:id="rId22">
        <w:r>
          <w:rPr>
            <w:rStyle w:val="Hyperlink"/>
          </w:rPr>
          <w:t xml:space="preserve">[80]</w:t>
        </w:r>
      </w:hyperlink>
      <w:r>
        <w:br/>
      </w:r>
      <w:r>
        <w:t xml:space="preserve">- Федеральный закон № 63‑ФЗ «Об электронной подписи».</w:t>
      </w:r>
      <w:r>
        <w:t xml:space="preserve"> </w:t>
      </w:r>
      <w:hyperlink r:id="rId28">
        <w:r>
          <w:rPr>
            <w:rStyle w:val="Hyperlink"/>
          </w:rPr>
          <w:t xml:space="preserve">[81]</w:t>
        </w:r>
      </w:hyperlink>
      <w:r>
        <w:br/>
      </w:r>
      <w:r>
        <w:t xml:space="preserve">- Федеральный закон № 149‑ФЗ «Об информации, информационных технологиях и о защите информации».</w:t>
      </w:r>
      <w:r>
        <w:t xml:space="preserve"> </w:t>
      </w:r>
      <w:hyperlink r:id="rId69">
        <w:r>
          <w:rPr>
            <w:rStyle w:val="Hyperlink"/>
          </w:rPr>
          <w:t xml:space="preserve">[82]</w:t>
        </w:r>
      </w:hyperlink>
      <w:r>
        <w:br/>
      </w:r>
      <w:r>
        <w:t xml:space="preserve">- Постановление Правительства РФ № 477 от 15.06.2009 «Правила делопроизводства в федеральных органах исполнительной власти».</w:t>
      </w:r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  <w:r>
        <w:br/>
      </w:r>
      <w:r>
        <w:t xml:space="preserve">- Приказ Минкультуры России</w:t>
      </w:r>
      <w:hyperlink r:id="rId52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№ 526 от 31.03.2015 (правила организации хранения/учёта/использования документов АФ РФ).</w:t>
      </w:r>
      <w:r>
        <w:t xml:space="preserve"> </w:t>
      </w:r>
      <w:hyperlink r:id="rId36">
        <w:r>
          <w:rPr>
            <w:rStyle w:val="Hyperlink"/>
          </w:rPr>
          <w:t xml:space="preserve">[84]</w:t>
        </w:r>
      </w:hyperlink>
      <w:r>
        <w:br/>
      </w:r>
      <w:r>
        <w:t xml:space="preserve">- Приказ Росархива № 236 от 20.12.2019 (Перечень типовых управленческих архивных документов со сроками хранения).</w:t>
      </w:r>
      <w:r>
        <w:t xml:space="preserve"> </w:t>
      </w:r>
      <w:hyperlink r:id="rId70">
        <w:r>
          <w:rPr>
            <w:rStyle w:val="Hyperlink"/>
          </w:rPr>
          <w:t xml:space="preserve">[85]</w:t>
        </w:r>
      </w:hyperlink>
      <w:r>
        <w:br/>
      </w:r>
      <w:r>
        <w:t xml:space="preserve">- Приказ Росархива № 69 от 15.06.2020 (типовые функциональные требования к СЭД/СХЭД).</w:t>
      </w:r>
      <w:r>
        <w:t xml:space="preserve"> </w:t>
      </w:r>
      <w:hyperlink r:id="rId37">
        <w:r>
          <w:rPr>
            <w:rStyle w:val="Hyperlink"/>
          </w:rPr>
          <w:t xml:space="preserve">[86]</w:t>
        </w:r>
      </w:hyperlink>
      <w:r>
        <w:br/>
      </w:r>
      <w:r>
        <w:t xml:space="preserve">- Приказы Минцифры/ФСО по межведомственному обмену (№ 667/233 и № 611/96; с датами публикации и вступления новых форматов).</w:t>
      </w:r>
      <w:r>
        <w:t xml:space="preserve"> </w:t>
      </w:r>
      <w:hyperlink r:id="rId71">
        <w:r>
          <w:rPr>
            <w:rStyle w:val="Hyperlink"/>
          </w:rPr>
          <w:t xml:space="preserve">[87]</w:t>
        </w:r>
      </w:hyperlink>
      <w:r>
        <w:br/>
      </w:r>
      <w:r>
        <w:t xml:space="preserve">- Приказ ФНС № ЕД‑7‑26/546@ (требования к оператору ЭДО) и реестр операторов на сайте ФНС.</w:t>
      </w:r>
      <w:r>
        <w:t xml:space="preserve"> </w:t>
      </w:r>
      <w:hyperlink r:id="rId72">
        <w:r>
          <w:rPr>
            <w:rStyle w:val="Hyperlink"/>
          </w:rPr>
          <w:t xml:space="preserve">[88]</w:t>
        </w:r>
      </w:hyperlink>
      <w:r>
        <w:br/>
      </w:r>
      <w:r>
        <w:t xml:space="preserve">- ГОСТ Р 7.0.97‑2016 (оформление организационно‑распорядительных документов) и ГОСТ по терминологии делопроизводства/архивного дела (актуализация 2025).</w:t>
      </w:r>
      <w:r>
        <w:t xml:space="preserve"> </w:t>
      </w:r>
      <w:hyperlink r:id="rId73">
        <w:r>
          <w:rPr>
            <w:rStyle w:val="Hyperlink"/>
          </w:rPr>
          <w:t xml:space="preserve">[89]</w:t>
        </w:r>
      </w:hyperlink>
      <w:r>
        <w:br/>
      </w:r>
      <w:r>
        <w:t xml:space="preserve">- Официальные страницы: ЕИП ГосЭДО/ГИС ТОР СЭД (Минцифры).</w:t>
      </w:r>
      <w:r>
        <w:t xml:space="preserve"> </w:t>
      </w:r>
      <w:hyperlink r:id="rId39">
        <w:r>
          <w:rPr>
            <w:rStyle w:val="Hyperlink"/>
          </w:rPr>
          <w:t xml:space="preserve">[90]</w:t>
        </w:r>
      </w:hyperlink>
      <w:r>
        <w:br/>
      </w:r>
      <w:r>
        <w:t xml:space="preserve">- Официальный портал ЕИС в сфере закупок и 44‑ФЗ.</w:t>
      </w:r>
      <w:r>
        <w:t xml:space="preserve"> </w:t>
      </w:r>
      <w:hyperlink r:id="rId45">
        <w:r>
          <w:rPr>
            <w:rStyle w:val="Hyperlink"/>
          </w:rPr>
          <w:t xml:space="preserve">[91]</w:t>
        </w:r>
      </w:hyperlink>
      <w:r>
        <w:br/>
      </w:r>
      <w:r>
        <w:t xml:space="preserve">- Официальные сайты/прайсы и кейсы вендоров: ЭОС («ДЕЛО»), 1С («1С:Документооборот»), Directum, Docsvision.</w:t>
      </w:r>
      <w:r>
        <w:t xml:space="preserve"> </w:t>
      </w:r>
      <w:hyperlink r:id="rId51">
        <w:r>
          <w:rPr>
            <w:rStyle w:val="Hyperlink"/>
          </w:rPr>
          <w:t xml:space="preserve">[92]</w:t>
        </w:r>
      </w:hyperlink>
    </w:p>
    <w:bookmarkEnd w:id="74"/>
    <w:bookmarkEnd w:id="75"/>
    <w:bookmarkEnd w:id="76"/>
    <w:p>
      <w:r>
        <w:pict>
          <v:rect style="width:0;height:1.5pt" o:hralign="center" o:hrstd="t" o:hr="t"/>
        </w:pict>
      </w:r>
    </w:p>
    <w:bookmarkStart w:id="7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https://docs.cntd.ru/document/901932680</w:t>
      </w:r>
    </w:p>
    <w:p>
      <w:pPr>
        <w:pStyle w:val="BodyText"/>
      </w:pPr>
      <w:hyperlink r:id="rId21">
        <w:r>
          <w:rPr>
            <w:rStyle w:val="Hyperlink"/>
          </w:rPr>
          <w:t xml:space="preserve">https://docs.cntd.ru/document/901932680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hyperlink r:id="rId22">
        <w:r>
          <w:rPr>
            <w:rStyle w:val="Hyperlink"/>
          </w:rPr>
          <w:t xml:space="preserve">[21]</w:t>
        </w:r>
      </w:hyperlink>
      <w:r>
        <w:t xml:space="preserve"> </w:t>
      </w:r>
      <w:hyperlink r:id="rId22">
        <w:r>
          <w:rPr>
            <w:rStyle w:val="Hyperlink"/>
          </w:rPr>
          <w:t xml:space="preserve">[73]</w:t>
        </w:r>
      </w:hyperlink>
      <w:r>
        <w:t xml:space="preserve"> </w:t>
      </w:r>
      <w:hyperlink r:id="rId22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Об архивном деле в Российской Федерации</w:t>
      </w:r>
    </w:p>
    <w:p>
      <w:pPr>
        <w:pStyle w:val="BodyText"/>
      </w:pPr>
      <w:hyperlink r:id="rId22">
        <w:r>
          <w:rPr>
            <w:rStyle w:val="Hyperlink"/>
          </w:rPr>
          <w:t xml:space="preserve">https://pravo.gov.ru/proxy/ips/?docbody=&amp;nd=102089077&amp;utm_source=chatgpt.com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3">
        <w:r>
          <w:rPr>
            <w:rStyle w:val="Hyperlink"/>
          </w:rPr>
          <w:t xml:space="preserve">[12]</w:t>
        </w:r>
      </w:hyperlink>
      <w:r>
        <w:t xml:space="preserve"> </w:t>
      </w:r>
      <w:hyperlink r:id="rId23">
        <w:r>
          <w:rPr>
            <w:rStyle w:val="Hyperlink"/>
          </w:rPr>
          <w:t xml:space="preserve">[15]</w:t>
        </w:r>
      </w:hyperlink>
      <w:r>
        <w:t xml:space="preserve"> </w:t>
      </w:r>
      <w:hyperlink r:id="rId23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https://docs.historyrussia.org/ru/nodes/335422-generalnyy-reglament-fevralya-27-dnya-1720-goda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https://docs.historyrussia.org/ru/nodes/335422-generalnyy-reglament-fevralya-27-dnya-1720-goda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https://publication.pravo.gov.ru/document/0001202408200007</w:t>
      </w:r>
    </w:p>
    <w:p>
      <w:pPr>
        <w:pStyle w:val="BodyText"/>
      </w:pPr>
      <w:hyperlink r:id="rId24">
        <w:r>
          <w:rPr>
            <w:rStyle w:val="Hyperlink"/>
          </w:rPr>
          <w:t xml:space="preserve">https://publication.pravo.gov.ru/document/0001202408200007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hyperlink r:id="rId25">
        <w:r>
          <w:rPr>
            <w:rStyle w:val="Hyperlink"/>
          </w:rPr>
          <w:t xml:space="preserve">[27]</w:t>
        </w:r>
      </w:hyperlink>
      <w:r>
        <w:t xml:space="preserve"> </w:t>
      </w:r>
      <w:hyperlink r:id="rId25">
        <w:r>
          <w:rPr>
            <w:rStyle w:val="Hyperlink"/>
          </w:rPr>
          <w:t xml:space="preserve">[32]</w:t>
        </w:r>
      </w:hyperlink>
      <w:r>
        <w:t xml:space="preserve"> </w:t>
      </w:r>
      <w:hyperlink r:id="rId25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https://eos.ru/eos_products/solution/modul-iskusstvennogo-intellekta-sed-delo/</w:t>
      </w:r>
    </w:p>
    <w:p>
      <w:pPr>
        <w:pStyle w:val="BodyText"/>
      </w:pPr>
      <w:hyperlink r:id="rId25">
        <w:r>
          <w:rPr>
            <w:rStyle w:val="Hyperlink"/>
          </w:rPr>
          <w:t xml:space="preserve">https://eos.ru/eos_products/solution/modul-iskusstvennogo-intellekta-sed-delo/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Скачать ГОСТ Р 7.0.8-2025 Система стандартов по ...</w:t>
      </w:r>
    </w:p>
    <w:p>
      <w:pPr>
        <w:pStyle w:val="BodyText"/>
      </w:pPr>
      <w:hyperlink r:id="rId27">
        <w:r>
          <w:rPr>
            <w:rStyle w:val="Hyperlink"/>
          </w:rPr>
          <w:t xml:space="preserve">https://files.stroyinf.ru/Data/844/84468.pdf?utm_source=chatgpt.com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[9]</w:t>
        </w:r>
      </w:hyperlink>
      <w:r>
        <w:t xml:space="preserve"> </w:t>
      </w:r>
      <w:hyperlink r:id="rId28">
        <w:r>
          <w:rPr>
            <w:rStyle w:val="Hyperlink"/>
          </w:rPr>
          <w:t xml:space="preserve">[30]</w:t>
        </w:r>
      </w:hyperlink>
      <w:r>
        <w:t xml:space="preserve"> </w:t>
      </w:r>
      <w:hyperlink r:id="rId28">
        <w:r>
          <w:rPr>
            <w:rStyle w:val="Hyperlink"/>
          </w:rPr>
          <w:t xml:space="preserve">[62]</w:t>
        </w:r>
      </w:hyperlink>
      <w:r>
        <w:t xml:space="preserve"> </w:t>
      </w:r>
      <w:hyperlink r:id="rId28">
        <w:r>
          <w:rPr>
            <w:rStyle w:val="Hyperlink"/>
          </w:rPr>
          <w:t xml:space="preserve">[71]</w:t>
        </w:r>
      </w:hyperlink>
      <w:r>
        <w:t xml:space="preserve"> </w:t>
      </w:r>
      <w:hyperlink r:id="rId28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Об электронной подписи - Портал правовой информации</w:t>
      </w:r>
    </w:p>
    <w:p>
      <w:pPr>
        <w:pStyle w:val="BodyText"/>
      </w:pPr>
      <w:hyperlink r:id="rId28">
        <w:r>
          <w:rPr>
            <w:rStyle w:val="Hyperlink"/>
          </w:rPr>
          <w:t xml:space="preserve">https://pravo.gov.ru/proxy/ips/?docbody=&amp;nd=102146610&amp;utm_source=chatgpt.com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https://archaeolog.ru/press/articles/k-70-letiyu-nakhodki-pervoy-berestyanoy-gramoty-v-novgorode</w:t>
      </w:r>
    </w:p>
    <w:p>
      <w:pPr>
        <w:pStyle w:val="BodyText"/>
      </w:pPr>
      <w:hyperlink r:id="rId30">
        <w:r>
          <w:rPr>
            <w:rStyle w:val="Hyperlink"/>
          </w:rPr>
          <w:t xml:space="preserve">https://archaeolog.ru/press/articles/k-70-letiyu-nakhodki-pervoy-berestyanoy-gramoty-v-novgorode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https://iriran.ru/files/vorobiev.pdf</w:t>
      </w:r>
    </w:p>
    <w:p>
      <w:pPr>
        <w:pStyle w:val="BodyText"/>
      </w:pPr>
      <w:hyperlink r:id="rId31">
        <w:r>
          <w:rPr>
            <w:rStyle w:val="Hyperlink"/>
          </w:rPr>
          <w:t xml:space="preserve">https://iriran.ru/files/vorobiev.pdf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[66]</w:t>
        </w:r>
      </w:hyperlink>
      <w:r>
        <w:t xml:space="preserve"> </w:t>
      </w:r>
      <w:hyperlink r:id="rId32">
        <w:r>
          <w:rPr>
            <w:rStyle w:val="Hyperlink"/>
          </w:rPr>
          <w:t xml:space="preserve">[69]</w:t>
        </w:r>
      </w:hyperlink>
      <w:r>
        <w:t xml:space="preserve"> </w:t>
      </w:r>
      <w:r>
        <w:t xml:space="preserve">https://www.rsuh.ru/upload/main/fdta/monograph.pdf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https://www.rsuh.ru/upload/main/fdta/monograph.pdf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[16]</w:t>
        </w:r>
      </w:hyperlink>
      <w:r>
        <w:t xml:space="preserve"> </w:t>
      </w:r>
      <w:hyperlink r:id="rId34">
        <w:r>
          <w:rPr>
            <w:rStyle w:val="Hyperlink"/>
          </w:rPr>
          <w:t xml:space="preserve">[19]</w:t>
        </w:r>
      </w:hyperlink>
      <w:r>
        <w:t xml:space="preserve"> </w:t>
      </w:r>
      <w:hyperlink r:id="rId34">
        <w:r>
          <w:rPr>
            <w:rStyle w:val="Hyperlink"/>
          </w:rPr>
          <w:t xml:space="preserve">[29]</w:t>
        </w:r>
      </w:hyperlink>
      <w:r>
        <w:t xml:space="preserve"> </w:t>
      </w:r>
      <w:hyperlink r:id="rId34">
        <w:r>
          <w:rPr>
            <w:rStyle w:val="Hyperlink"/>
          </w:rPr>
          <w:t xml:space="preserve">[75]</w:t>
        </w:r>
      </w:hyperlink>
      <w:r>
        <w:t xml:space="preserve"> </w:t>
      </w:r>
      <w:hyperlink r:id="rId34">
        <w:r>
          <w:rPr>
            <w:rStyle w:val="Hyperlink"/>
          </w:rPr>
          <w:t xml:space="preserve">[78]</w:t>
        </w:r>
      </w:hyperlink>
      <w:r>
        <w:t xml:space="preserve"> </w:t>
      </w:r>
      <w:r>
        <w:t xml:space="preserve">Об утверждении Правил делопроизводства в ...</w:t>
      </w:r>
    </w:p>
    <w:p>
      <w:pPr>
        <w:pStyle w:val="BodyText"/>
      </w:pPr>
      <w:hyperlink r:id="rId34">
        <w:r>
          <w:rPr>
            <w:rStyle w:val="Hyperlink"/>
          </w:rPr>
          <w:t xml:space="preserve">https://pravo.gov.ru/proxy/ips/?backlink=1&amp;docbody=&amp;nd=102130295&amp;prevDoc=102151998&amp;rdk=0&amp;utm_source=chatgpt.com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hyperlink r:id="rId35">
        <w:r>
          <w:rPr>
            <w:rStyle w:val="Hyperlink"/>
          </w:rPr>
          <w:t xml:space="preserve">[65]</w:t>
        </w:r>
      </w:hyperlink>
      <w:r>
        <w:t xml:space="preserve"> </w:t>
      </w:r>
      <w:r>
        <w:t xml:space="preserve">https://publication.pravo.gov.ru/document/view/0001201707260023</w:t>
      </w:r>
    </w:p>
    <w:p>
      <w:pPr>
        <w:pStyle w:val="BodyText"/>
      </w:pPr>
      <w:hyperlink r:id="rId35">
        <w:r>
          <w:rPr>
            <w:rStyle w:val="Hyperlink"/>
          </w:rPr>
          <w:t xml:space="preserve">https://publication.pravo.gov.ru/document/view/0001201707260023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[22]</w:t>
        </w:r>
      </w:hyperlink>
      <w:r>
        <w:t xml:space="preserve"> </w:t>
      </w:r>
      <w:hyperlink r:id="rId36">
        <w:r>
          <w:rPr>
            <w:rStyle w:val="Hyperlink"/>
          </w:rPr>
          <w:t xml:space="preserve">[84]</w:t>
        </w:r>
      </w:hyperlink>
      <w:r>
        <w:t xml:space="preserve"> </w:t>
      </w:r>
      <w:r>
        <w:t xml:space="preserve">Приказ Министерства культуры Российской Федерации от ...</w:t>
      </w:r>
    </w:p>
    <w:p>
      <w:pPr>
        <w:pStyle w:val="BodyText"/>
      </w:pPr>
      <w:hyperlink r:id="rId36">
        <w:r>
          <w:rPr>
            <w:rStyle w:val="Hyperlink"/>
          </w:rPr>
          <w:t xml:space="preserve">https://publication.pravo.gov.ru/document/view/0001201509100001?utm_source=chatgpt.com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[23]</w:t>
        </w:r>
      </w:hyperlink>
      <w:r>
        <w:t xml:space="preserve"> </w:t>
      </w:r>
      <w:hyperlink r:id="rId37">
        <w:r>
          <w:rPr>
            <w:rStyle w:val="Hyperlink"/>
          </w:rPr>
          <w:t xml:space="preserve">[86]</w:t>
        </w:r>
      </w:hyperlink>
      <w:r>
        <w:t xml:space="preserve"> </w:t>
      </w:r>
      <w:r>
        <w:t xml:space="preserve">https://publication.pravo.gov.ru/document/0001202010210009</w:t>
      </w:r>
    </w:p>
    <w:p>
      <w:pPr>
        <w:pStyle w:val="BodyText"/>
      </w:pPr>
      <w:hyperlink r:id="rId37">
        <w:r>
          <w:rPr>
            <w:rStyle w:val="Hyperlink"/>
          </w:rPr>
          <w:t xml:space="preserve">https://publication.pravo.gov.ru/document/0001202010210009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[24]</w:t>
        </w:r>
      </w:hyperlink>
      <w:r>
        <w:t xml:space="preserve"> </w:t>
      </w:r>
      <w:hyperlink r:id="rId38">
        <w:r>
          <w:rPr>
            <w:rStyle w:val="Hyperlink"/>
          </w:rPr>
          <w:t xml:space="preserve">[44]</w:t>
        </w:r>
      </w:hyperlink>
      <w:r>
        <w:t xml:space="preserve"> </w:t>
      </w:r>
      <w:hyperlink r:id="rId38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Широкие возможности «1С:Документооборота 8»</w:t>
      </w:r>
    </w:p>
    <w:p>
      <w:pPr>
        <w:pStyle w:val="BodyText"/>
      </w:pPr>
      <w:hyperlink r:id="rId38">
        <w:r>
          <w:rPr>
            <w:rStyle w:val="Hyperlink"/>
          </w:rPr>
          <w:t xml:space="preserve">https://v8.1c.ru/doc8/vozmozhnosti-1s-dokumentooborota/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[25]</w:t>
        </w:r>
      </w:hyperlink>
      <w:r>
        <w:t xml:space="preserve"> </w:t>
      </w:r>
      <w:hyperlink r:id="rId39">
        <w:r>
          <w:rPr>
            <w:rStyle w:val="Hyperlink"/>
          </w:rPr>
          <w:t xml:space="preserve">[77]</w:t>
        </w:r>
      </w:hyperlink>
      <w:r>
        <w:t xml:space="preserve"> </w:t>
      </w:r>
      <w:hyperlink r:id="rId39">
        <w:r>
          <w:rPr>
            <w:rStyle w:val="Hyperlink"/>
          </w:rPr>
          <w:t xml:space="preserve">[90]</w:t>
        </w:r>
      </w:hyperlink>
      <w:r>
        <w:t xml:space="preserve"> </w:t>
      </w:r>
      <w:r>
        <w:t xml:space="preserve">https://digital.gov.ru/activity/czifrovizacziya-gosudarstva/czifrovaya-transformacziya/czifrovye-platformy-i-resheniya-dlya-gosorganov/edinoe-informaczionnoe-prostranstvo-gosudarstvennogo-elektronnogo-dokumentooborota-eip-gosedo/gis-gosedo</w:t>
      </w:r>
    </w:p>
    <w:p>
      <w:pPr>
        <w:pStyle w:val="BodyText"/>
      </w:pPr>
      <w:hyperlink r:id="rId39">
        <w:r>
          <w:rPr>
            <w:rStyle w:val="Hyperlink"/>
          </w:rPr>
          <w:t xml:space="preserve">https://digital.gov.ru/activity/czifrovizacziya-gosudarstva/czifrovaya-transformacziya/czifrovye-platformy-i-resheniya-dlya-gosorganov/edinoe-informaczionnoe-prostranstvo-gosudarstvennogo-elektronnogo-dokumentooborota-eip-gosedo/gis-gosedo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https://publication.pravo.gov.ru/document/0001201509240021</w:t>
      </w:r>
    </w:p>
    <w:p>
      <w:pPr>
        <w:pStyle w:val="BodyText"/>
      </w:pPr>
      <w:hyperlink r:id="rId40">
        <w:r>
          <w:rPr>
            <w:rStyle w:val="Hyperlink"/>
          </w:rPr>
          <w:t xml:space="preserve">https://publication.pravo.gov.ru/document/0001201509240021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https://www.nalog.gov.ru/rn77/related_activities/el_doc/to_operator/11305068/</w:t>
      </w:r>
    </w:p>
    <w:p>
      <w:pPr>
        <w:pStyle w:val="BodyText"/>
      </w:pPr>
      <w:hyperlink r:id="rId41">
        <w:r>
          <w:rPr>
            <w:rStyle w:val="Hyperlink"/>
          </w:rPr>
          <w:t xml:space="preserve">https://www.nalog.gov.ru/rn77/related_activities/el_doc/to_operator/11305068/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https://digital.gov.ru/documents/prikaz-minczifry-rossii-%E2%84%96-1026-o-vvode-v-ekspluatacziyu-gosudarstvennoj-informaczionnoj-sistemy-tipovoe-oblachnoe-reshenie-sistemy-elektronnogo-dokumentooborota</w:t>
      </w:r>
    </w:p>
    <w:p>
      <w:pPr>
        <w:pStyle w:val="BodyText"/>
      </w:pPr>
      <w:hyperlink r:id="rId43">
        <w:r>
          <w:rPr>
            <w:rStyle w:val="Hyperlink"/>
          </w:rPr>
          <w:t xml:space="preserve">https://digital.gov.ru/documents/prikaz-minczifry-rossii-%E2%84%96-1026-o-vvode-v-ekspluatacziyu-gosudarstvennoj-informaczionnoj-sistemy-tipovoe-oblachnoe-reshenie-sistemy-elektronnogo-dokumentooborota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https://www.elastic.co/docs/reference/elasticsearch</w:t>
      </w:r>
    </w:p>
    <w:p>
      <w:pPr>
        <w:pStyle w:val="BodyText"/>
      </w:pPr>
      <w:hyperlink r:id="rId44">
        <w:r>
          <w:rPr>
            <w:rStyle w:val="Hyperlink"/>
          </w:rPr>
          <w:t xml:space="preserve">https://www.elastic.co/docs/reference/elasticsearch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[35]</w:t>
        </w:r>
      </w:hyperlink>
      <w:r>
        <w:t xml:space="preserve"> </w:t>
      </w:r>
      <w:hyperlink r:id="rId45">
        <w:r>
          <w:rPr>
            <w:rStyle w:val="Hyperlink"/>
          </w:rPr>
          <w:t xml:space="preserve">[91]</w:t>
        </w:r>
      </w:hyperlink>
      <w:r>
        <w:t xml:space="preserve"> </w:t>
      </w:r>
      <w:r>
        <w:t xml:space="preserve">https://zakupki.gov.ru/epz/main/public/home.html</w:t>
      </w:r>
    </w:p>
    <w:p>
      <w:pPr>
        <w:pStyle w:val="BodyText"/>
      </w:pPr>
      <w:hyperlink r:id="rId45">
        <w:r>
          <w:rPr>
            <w:rStyle w:val="Hyperlink"/>
          </w:rPr>
          <w:t xml:space="preserve">https://zakupki.gov.ru/epz/main/public/home.html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https://gasu.gov.ru/</w:t>
      </w:r>
    </w:p>
    <w:p>
      <w:pPr>
        <w:pStyle w:val="BodyText"/>
      </w:pPr>
      <w:hyperlink r:id="rId46">
        <w:r>
          <w:rPr>
            <w:rStyle w:val="Hyperlink"/>
          </w:rPr>
          <w:t xml:space="preserve">https://gasu.gov.ru/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[37]</w:t>
        </w:r>
      </w:hyperlink>
      <w:r>
        <w:t xml:space="preserve"> </w:t>
      </w:r>
      <w:hyperlink r:id="rId47">
        <w:r>
          <w:rPr>
            <w:rStyle w:val="Hyperlink"/>
          </w:rPr>
          <w:t xml:space="preserve">[50]</w:t>
        </w:r>
      </w:hyperlink>
      <w:r>
        <w:t xml:space="preserve"> </w:t>
      </w:r>
      <w:hyperlink r:id="rId47">
        <w:r>
          <w:rPr>
            <w:rStyle w:val="Hyperlink"/>
          </w:rPr>
          <w:t xml:space="preserve">[51]</w:t>
        </w:r>
      </w:hyperlink>
      <w:r>
        <w:t xml:space="preserve"> </w:t>
      </w:r>
      <w:hyperlink r:id="rId47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https://www.directum.ru/solution/rx_document_management</w:t>
      </w:r>
    </w:p>
    <w:p>
      <w:pPr>
        <w:pStyle w:val="BodyText"/>
      </w:pPr>
      <w:hyperlink r:id="rId47">
        <w:r>
          <w:rPr>
            <w:rStyle w:val="Hyperlink"/>
          </w:rPr>
          <w:t xml:space="preserve">https://www.directum.ru/solution/rx_document_management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https://eos.ru/eos_products/eos_delo/sed-delo/</w:t>
      </w:r>
    </w:p>
    <w:p>
      <w:pPr>
        <w:pStyle w:val="BodyText"/>
      </w:pPr>
      <w:hyperlink r:id="rId48">
        <w:r>
          <w:rPr>
            <w:rStyle w:val="Hyperlink"/>
          </w:rPr>
          <w:t xml:space="preserve">https://eos.ru/eos_products/eos_delo/sed-delo/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https://eos.ru/resheniya-elektronnaya-podpis-i-zashhita-informaczii/</w:t>
      </w:r>
    </w:p>
    <w:p>
      <w:pPr>
        <w:pStyle w:val="BodyText"/>
      </w:pPr>
      <w:hyperlink r:id="rId49">
        <w:r>
          <w:rPr>
            <w:rStyle w:val="Hyperlink"/>
          </w:rPr>
          <w:t xml:space="preserve">https://eos.ru/resheniya-elektronnaya-podpis-i-zashhita-informaczii/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https://eos.ru/wp-content/uploads/2023/10/rukpol-820-delo-web.pdf</w:t>
      </w:r>
    </w:p>
    <w:p>
      <w:pPr>
        <w:pStyle w:val="BodyText"/>
      </w:pPr>
      <w:hyperlink r:id="rId50">
        <w:r>
          <w:rPr>
            <w:rStyle w:val="Hyperlink"/>
          </w:rPr>
          <w:t xml:space="preserve">https://eos.ru/wp-content/uploads/2023/10/rukpol-820-delo-web.pdf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[41]</w:t>
        </w:r>
      </w:hyperlink>
      <w:r>
        <w:t xml:space="preserve"> </w:t>
      </w:r>
      <w:hyperlink r:id="rId51">
        <w:r>
          <w:rPr>
            <w:rStyle w:val="Hyperlink"/>
          </w:rPr>
          <w:t xml:space="preserve">[92]</w:t>
        </w:r>
      </w:hyperlink>
      <w:r>
        <w:t xml:space="preserve"> </w:t>
      </w:r>
      <w:r>
        <w:t xml:space="preserve">https://eos.ru/eos_products/eos_delo/czeny-sed-delo/</w:t>
      </w:r>
    </w:p>
    <w:p>
      <w:pPr>
        <w:pStyle w:val="BodyText"/>
      </w:pPr>
      <w:hyperlink r:id="rId51">
        <w:r>
          <w:rPr>
            <w:rStyle w:val="Hyperlink"/>
          </w:rPr>
          <w:t xml:space="preserve">https://eos.ru/eos_products/eos_delo/czeny-sed-delo/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[42]</w:t>
        </w:r>
      </w:hyperlink>
      <w:r>
        <w:t xml:space="preserve"> </w:t>
      </w:r>
      <w:hyperlink r:id="rId52">
        <w:r>
          <w:rPr>
            <w:rStyle w:val="Hyperlink"/>
          </w:rPr>
          <w:t xml:space="preserve">[68]</w:t>
        </w:r>
      </w:hyperlink>
      <w:r>
        <w:t xml:space="preserve"> </w:t>
      </w:r>
      <w:hyperlink r:id="rId52">
        <w:r>
          <w:rPr>
            <w:rStyle w:val="Hyperlink"/>
          </w:rPr>
          <w:t xml:space="preserve">[70]</w:t>
        </w:r>
      </w:hyperlink>
      <w:r>
        <w:t xml:space="preserve"> </w:t>
      </w:r>
      <w:hyperlink r:id="rId52">
        <w:r>
          <w:rPr>
            <w:rStyle w:val="Hyperlink"/>
          </w:rPr>
          <w:t xml:space="preserve">[83]</w:t>
        </w:r>
      </w:hyperlink>
      <w:r>
        <w:t xml:space="preserve"> </w:t>
      </w:r>
      <w:r>
        <w:t xml:space="preserve">https://eos.ru/press-center/news/vnedrenie-sed-delo-v-organah-vlasti-orlovskoj-oblasti/</w:t>
      </w:r>
    </w:p>
    <w:p>
      <w:pPr>
        <w:pStyle w:val="BodyText"/>
      </w:pPr>
      <w:hyperlink r:id="rId52">
        <w:r>
          <w:rPr>
            <w:rStyle w:val="Hyperlink"/>
          </w:rPr>
          <w:t xml:space="preserve">https://eos.ru/press-center/news/vnedrenie-sed-delo-v-organah-vlasti-orlovskoj-oblasti/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[43]</w:t>
        </w:r>
      </w:hyperlink>
      <w:r>
        <w:t xml:space="preserve"> </w:t>
      </w:r>
      <w:hyperlink r:id="rId53">
        <w:r>
          <w:rPr>
            <w:rStyle w:val="Hyperlink"/>
          </w:rPr>
          <w:t xml:space="preserve">[52]</w:t>
        </w:r>
      </w:hyperlink>
      <w:r>
        <w:t xml:space="preserve"> </w:t>
      </w:r>
      <w:hyperlink r:id="rId53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https://www.directum.ru/blog-post/directumrx__novoe_oblachnoe_reshenie_dlja_dokumentooborota</w:t>
      </w:r>
    </w:p>
    <w:p>
      <w:pPr>
        <w:pStyle w:val="BodyText"/>
      </w:pPr>
      <w:hyperlink r:id="rId53">
        <w:r>
          <w:rPr>
            <w:rStyle w:val="Hyperlink"/>
          </w:rPr>
          <w:t xml:space="preserve">https://www.directum.ru/blog-post/directumrx__novoe_oblachnoe_reshenie_dlja_dokumentooborota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https://uc1.1c.ru/course/elektronnaya-podpis-v-1s-dokumentooborot-i-1s-edo/</w:t>
      </w:r>
    </w:p>
    <w:p>
      <w:pPr>
        <w:pStyle w:val="BodyText"/>
      </w:pPr>
      <w:hyperlink r:id="rId54">
        <w:r>
          <w:rPr>
            <w:rStyle w:val="Hyperlink"/>
          </w:rPr>
          <w:t xml:space="preserve">https://uc1.1c.ru/course/elektronnaya-podpis-v-1s-dokumentooborot-i-1s-edo/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[46]</w:t>
        </w:r>
      </w:hyperlink>
      <w:r>
        <w:t xml:space="preserve"> </w:t>
      </w:r>
      <w:r>
        <w:t xml:space="preserve">https://v8.1c.ru/platforma/tonkiy-klient/</w:t>
      </w:r>
    </w:p>
    <w:p>
      <w:pPr>
        <w:pStyle w:val="BodyText"/>
      </w:pPr>
      <w:hyperlink r:id="rId55">
        <w:r>
          <w:rPr>
            <w:rStyle w:val="Hyperlink"/>
          </w:rPr>
          <w:t xml:space="preserve">https://v8.1c.ru/platforma/tonkiy-klient/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[47]</w:t>
        </w:r>
      </w:hyperlink>
      <w:r>
        <w:t xml:space="preserve"> </w:t>
      </w:r>
      <w:r>
        <w:t xml:space="preserve">https://v8.1c.ru/doc8/cena-1s-dokumentooborota-8/</w:t>
      </w:r>
    </w:p>
    <w:p>
      <w:pPr>
        <w:pStyle w:val="BodyText"/>
      </w:pPr>
      <w:hyperlink r:id="rId56">
        <w:r>
          <w:rPr>
            <w:rStyle w:val="Hyperlink"/>
          </w:rPr>
          <w:t xml:space="preserve">https://v8.1c.ru/doc8/cena-1s-dokumentooborota-8/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[49]</w:t>
        </w:r>
      </w:hyperlink>
      <w:r>
        <w:t xml:space="preserve"> </w:t>
      </w:r>
      <w:hyperlink r:id="rId57">
        <w:r>
          <w:rPr>
            <w:rStyle w:val="Hyperlink"/>
          </w:rPr>
          <w:t xml:space="preserve">[59]</w:t>
        </w:r>
      </w:hyperlink>
      <w:r>
        <w:t xml:space="preserve"> </w:t>
      </w:r>
      <w:hyperlink r:id="rId57">
        <w:r>
          <w:rPr>
            <w:rStyle w:val="Hyperlink"/>
          </w:rPr>
          <w:t xml:space="preserve">[61]</w:t>
        </w:r>
      </w:hyperlink>
      <w:r>
        <w:t xml:space="preserve"> </w:t>
      </w:r>
      <w:r>
        <w:t xml:space="preserve">https://docsvision.com/price/</w:t>
      </w:r>
    </w:p>
    <w:p>
      <w:pPr>
        <w:pStyle w:val="BodyText"/>
      </w:pPr>
      <w:hyperlink r:id="rId57">
        <w:r>
          <w:rPr>
            <w:rStyle w:val="Hyperlink"/>
          </w:rPr>
          <w:t xml:space="preserve">https://docsvision.com/price/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https://www.directum.ru/download/price.pdf</w:t>
      </w:r>
    </w:p>
    <w:p>
      <w:pPr>
        <w:pStyle w:val="BodyText"/>
      </w:pPr>
      <w:hyperlink r:id="rId58">
        <w:r>
          <w:rPr>
            <w:rStyle w:val="Hyperlink"/>
          </w:rPr>
          <w:t xml:space="preserve">https://www.directum.ru/download/price.pdf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[56]</w:t>
        </w:r>
      </w:hyperlink>
      <w:r>
        <w:t xml:space="preserve"> </w:t>
      </w:r>
      <w:hyperlink r:id="rId59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https://docsvision.com/ecm-bpm/functional/interfaces/web-client/</w:t>
      </w:r>
    </w:p>
    <w:p>
      <w:pPr>
        <w:pStyle w:val="BodyText"/>
      </w:pPr>
      <w:hyperlink r:id="rId59">
        <w:r>
          <w:rPr>
            <w:rStyle w:val="Hyperlink"/>
          </w:rPr>
          <w:t xml:space="preserve">https://docsvision.com/ecm-bpm/functional/interfaces/web-client/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https://docsvision.com/docs/BaseObjects/554/UserGuide/topics/DCard_sign.html</w:t>
      </w:r>
    </w:p>
    <w:p>
      <w:pPr>
        <w:pStyle w:val="BodyText"/>
      </w:pPr>
      <w:hyperlink r:id="rId60">
        <w:r>
          <w:rPr>
            <w:rStyle w:val="Hyperlink"/>
          </w:rPr>
          <w:t xml:space="preserve">https://docsvision.com/docs/BaseObjects/554/UserGuide/topics/DCard_sign.html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[60]</w:t>
        </w:r>
      </w:hyperlink>
      <w:r>
        <w:t xml:space="preserve"> </w:t>
      </w:r>
      <w:hyperlink r:id="rId61">
        <w:r>
          <w:rPr>
            <w:rStyle w:val="Hyperlink"/>
          </w:rPr>
          <w:t xml:space="preserve">[76]</w:t>
        </w:r>
      </w:hyperlink>
      <w:r>
        <w:t xml:space="preserve"> </w:t>
      </w:r>
      <w:r>
        <w:t xml:space="preserve">https://docsvision.com/projects/administratsiya-ekaterinburga/</w:t>
      </w:r>
    </w:p>
    <w:p>
      <w:pPr>
        <w:pStyle w:val="BodyText"/>
      </w:pPr>
      <w:hyperlink r:id="rId61">
        <w:r>
          <w:rPr>
            <w:rStyle w:val="Hyperlink"/>
          </w:rPr>
          <w:t xml:space="preserve">https://docsvision.com/projects/administratsiya-ekaterinburga/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[63]</w:t>
        </w:r>
      </w:hyperlink>
      <w:r>
        <w:t xml:space="preserve"> </w:t>
      </w:r>
      <w:r>
        <w:t xml:space="preserve">https://normativ.kontur.ru/document?documentId=476681&amp;moduleId=1</w:t>
      </w:r>
    </w:p>
    <w:p>
      <w:pPr>
        <w:pStyle w:val="BodyText"/>
      </w:pPr>
      <w:hyperlink r:id="rId63">
        <w:r>
          <w:rPr>
            <w:rStyle w:val="Hyperlink"/>
          </w:rPr>
          <w:t xml:space="preserve">https://normativ.kontur.ru/document?documentId=476681&amp;moduleId=1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[64]</w:t>
        </w:r>
      </w:hyperlink>
      <w:r>
        <w:t xml:space="preserve"> </w:t>
      </w:r>
      <w:r>
        <w:t xml:space="preserve">https://www.vniidad.ru/gallery/MR_ENTD.pdf</w:t>
      </w:r>
    </w:p>
    <w:p>
      <w:pPr>
        <w:pStyle w:val="BodyText"/>
      </w:pPr>
      <w:hyperlink r:id="rId64">
        <w:r>
          <w:rPr>
            <w:rStyle w:val="Hyperlink"/>
          </w:rPr>
          <w:t xml:space="preserve">https://www.vniidad.ru/gallery/MR_ENTD.pdf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[67]</w:t>
        </w:r>
      </w:hyperlink>
      <w:r>
        <w:t xml:space="preserve"> </w:t>
      </w:r>
      <w:r>
        <w:t xml:space="preserve">https://www.elastic.co/pricing/faq/licensing</w:t>
      </w:r>
    </w:p>
    <w:p>
      <w:pPr>
        <w:pStyle w:val="BodyText"/>
      </w:pPr>
      <w:hyperlink r:id="rId65">
        <w:r>
          <w:rPr>
            <w:rStyle w:val="Hyperlink"/>
          </w:rPr>
          <w:t xml:space="preserve">https://www.elastic.co/pricing/faq/licensing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https://consulting.1c.ru/cases/217537.html</w:t>
      </w:r>
    </w:p>
    <w:p>
      <w:pPr>
        <w:pStyle w:val="BodyText"/>
      </w:pPr>
      <w:hyperlink r:id="rId67">
        <w:r>
          <w:rPr>
            <w:rStyle w:val="Hyperlink"/>
          </w:rPr>
          <w:t xml:space="preserve">https://consulting.1c.ru/cases/217537.html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[74]</w:t>
        </w:r>
      </w:hyperlink>
      <w:r>
        <w:t xml:space="preserve"> </w:t>
      </w:r>
      <w:r>
        <w:t xml:space="preserve">https://www.directum.ru/blog-post/vnedrenie_ehlektronnogo_dokumentooborota__kejjs_farmacevticheskojj_kompanii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https://www.directum.ru/blog-post/vnedrenie_ehlektronnogo_dokumentooborota__kejjs_farmacevticheskojj_kompanii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Об информации, информационных технологиях и о ...</w:t>
      </w:r>
    </w:p>
    <w:p>
      <w:pPr>
        <w:pStyle w:val="BodyText"/>
      </w:pPr>
      <w:hyperlink r:id="rId69">
        <w:r>
          <w:rPr>
            <w:rStyle w:val="Hyperlink"/>
          </w:rPr>
          <w:t xml:space="preserve">https://pravo.gov.ru/proxy/ips/?docbody=&amp;nd=102108264&amp;utm_source=chatgpt.com</w:t>
        </w:r>
      </w:hyperlink>
    </w:p>
    <w:p>
      <w:pPr>
        <w:pStyle w:val="BodyText"/>
      </w:pPr>
      <w:hyperlink r:id="rId70">
        <w:r>
          <w:rPr>
            <w:rStyle w:val="Hyperlink"/>
          </w:rPr>
          <w:t xml:space="preserve">[85]</w:t>
        </w:r>
      </w:hyperlink>
      <w:r>
        <w:t xml:space="preserve"> </w:t>
      </w:r>
      <w:r>
        <w:t xml:space="preserve">Приказ Федерального архивного агентства от 20.12.2019 ...</w:t>
      </w:r>
    </w:p>
    <w:p>
      <w:pPr>
        <w:pStyle w:val="BodyText"/>
      </w:pPr>
      <w:hyperlink r:id="rId70">
        <w:r>
          <w:rPr>
            <w:rStyle w:val="Hyperlink"/>
          </w:rPr>
          <w:t xml:space="preserve">https://publication.pravo.gov.ru/Document/View/0001202002070036?utm_source=chatgpt.com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[87]</w:t>
        </w:r>
      </w:hyperlink>
      <w:r>
        <w:t xml:space="preserve"> </w:t>
      </w:r>
      <w:r>
        <w:t xml:space="preserve">https://publication.pravo.gov.ru/document/0001202103090010</w:t>
      </w:r>
    </w:p>
    <w:p>
      <w:pPr>
        <w:pStyle w:val="BodyText"/>
      </w:pPr>
      <w:hyperlink r:id="rId71">
        <w:r>
          <w:rPr>
            <w:rStyle w:val="Hyperlink"/>
          </w:rPr>
          <w:t xml:space="preserve">https://publication.pravo.gov.ru/document/0001202103090010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[88]</w:t>
        </w:r>
      </w:hyperlink>
      <w:r>
        <w:t xml:space="preserve"> </w:t>
      </w:r>
      <w:r>
        <w:t xml:space="preserve">https://publication.pravo.gov.ru/Document/View/0001202109150022</w:t>
      </w:r>
    </w:p>
    <w:p>
      <w:pPr>
        <w:pStyle w:val="BodyText"/>
      </w:pPr>
      <w:hyperlink r:id="rId72">
        <w:r>
          <w:rPr>
            <w:rStyle w:val="Hyperlink"/>
          </w:rPr>
          <w:t xml:space="preserve">https://publication.pravo.gov.ru/Document/View/0001202109150022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[89]</w:t>
        </w:r>
      </w:hyperlink>
      <w:r>
        <w:t xml:space="preserve"> </w:t>
      </w:r>
      <w:r>
        <w:t xml:space="preserve">ГОСТ Р 7.0.97-2016 Система стандартов по информации ...</w:t>
      </w:r>
    </w:p>
    <w:p>
      <w:pPr>
        <w:pStyle w:val="BodyText"/>
      </w:pPr>
      <w:hyperlink r:id="rId73">
        <w:r>
          <w:rPr>
            <w:rStyle w:val="Hyperlink"/>
          </w:rPr>
          <w:t xml:space="preserve">https://docs.cntd.ru/document/1200142871?utm_source=chatgpt.com</w:t>
        </w:r>
      </w:hyperlink>
    </w:p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archaeolog.ru/press/articles/k-70-letiyu-nakhodki-pervoy-berestyanoy-gramoty-v-novgorode" TargetMode="External" /><Relationship Type="http://schemas.openxmlformats.org/officeDocument/2006/relationships/hyperlink" Id="rId67" Target="https://consulting.1c.ru/cases/217537.html" TargetMode="External" /><Relationship Type="http://schemas.openxmlformats.org/officeDocument/2006/relationships/hyperlink" Id="rId39" Target="https://digital.gov.ru/activity/czifrovizacziya-gosudarstva/czifrovaya-transformacziya/czifrovye-platformy-i-resheniya-dlya-gosorganov/edinoe-informaczionnoe-prostranstvo-gosudarstvennogo-elektronnogo-dokumentooborota-eip-gosedo/gis-gosedo" TargetMode="External" /><Relationship Type="http://schemas.openxmlformats.org/officeDocument/2006/relationships/hyperlink" Id="rId43" Target="https://digital.gov.ru/documents/prikaz-minczifry-rossii-%E2%84%96-1026-o-vvode-v-ekspluatacziyu-gosudarstvennoj-informaczionnoj-sistemy-tipovoe-oblachnoe-reshenie-sistemy-elektronnogo-dokumentooborota" TargetMode="External" /><Relationship Type="http://schemas.openxmlformats.org/officeDocument/2006/relationships/hyperlink" Id="rId73" Target="https://docs.cntd.ru/document/1200142871?utm_source=chatgpt.com" TargetMode="External" /><Relationship Type="http://schemas.openxmlformats.org/officeDocument/2006/relationships/hyperlink" Id="rId21" Target="https://docs.cntd.ru/document/901932680" TargetMode="External" /><Relationship Type="http://schemas.openxmlformats.org/officeDocument/2006/relationships/hyperlink" Id="rId23" Target="https://docs.historyrussia.org/ru/nodes/335422-generalnyy-reglament-fevralya-27-dnya-1720-goda" TargetMode="External" /><Relationship Type="http://schemas.openxmlformats.org/officeDocument/2006/relationships/hyperlink" Id="rId60" Target="https://docsvision.com/docs/BaseObjects/554/UserGuide/topics/DCard_sign.html" TargetMode="External" /><Relationship Type="http://schemas.openxmlformats.org/officeDocument/2006/relationships/hyperlink" Id="rId59" Target="https://docsvision.com/ecm-bpm/functional/interfaces/web-client/" TargetMode="External" /><Relationship Type="http://schemas.openxmlformats.org/officeDocument/2006/relationships/hyperlink" Id="rId57" Target="https://docsvision.com/price/" TargetMode="External" /><Relationship Type="http://schemas.openxmlformats.org/officeDocument/2006/relationships/hyperlink" Id="rId61" Target="https://docsvision.com/projects/administratsiya-ekaterinburga/" TargetMode="External" /><Relationship Type="http://schemas.openxmlformats.org/officeDocument/2006/relationships/hyperlink" Id="rId51" Target="https://eos.ru/eos_products/eos_delo/czeny-sed-delo/" TargetMode="External" /><Relationship Type="http://schemas.openxmlformats.org/officeDocument/2006/relationships/hyperlink" Id="rId48" Target="https://eos.ru/eos_products/eos_delo/sed-delo/" TargetMode="External" /><Relationship Type="http://schemas.openxmlformats.org/officeDocument/2006/relationships/hyperlink" Id="rId25" Target="https://eos.ru/eos_products/solution/modul-iskusstvennogo-intellekta-sed-delo/" TargetMode="External" /><Relationship Type="http://schemas.openxmlformats.org/officeDocument/2006/relationships/hyperlink" Id="rId52" Target="https://eos.ru/press-center/news/vnedrenie-sed-delo-v-organah-vlasti-orlovskoj-oblasti/" TargetMode="External" /><Relationship Type="http://schemas.openxmlformats.org/officeDocument/2006/relationships/hyperlink" Id="rId49" Target="https://eos.ru/resheniya-elektronnaya-podpis-i-zashhita-informaczii/" TargetMode="External" /><Relationship Type="http://schemas.openxmlformats.org/officeDocument/2006/relationships/hyperlink" Id="rId50" Target="https://eos.ru/wp-content/uploads/2023/10/rukpol-820-delo-web.pdf" TargetMode="External" /><Relationship Type="http://schemas.openxmlformats.org/officeDocument/2006/relationships/hyperlink" Id="rId27" Target="https://files.stroyinf.ru/Data/844/84468.pdf?utm_source=chatgpt.com" TargetMode="External" /><Relationship Type="http://schemas.openxmlformats.org/officeDocument/2006/relationships/hyperlink" Id="rId46" Target="https://gasu.gov.ru/" TargetMode="External" /><Relationship Type="http://schemas.openxmlformats.org/officeDocument/2006/relationships/hyperlink" Id="rId31" Target="https://iriran.ru/files/vorobiev.pdf" TargetMode="External" /><Relationship Type="http://schemas.openxmlformats.org/officeDocument/2006/relationships/hyperlink" Id="rId63" Target="https://normativ.kontur.ru/document?documentId=476681&amp;moduleId=1" TargetMode="External" /><Relationship Type="http://schemas.openxmlformats.org/officeDocument/2006/relationships/hyperlink" Id="rId34" Target="https://pravo.gov.ru/proxy/ips/?backlink=1&amp;docbody=&amp;nd=102130295&amp;prevDoc=102151998&amp;rdk=0&amp;utm_source=chatgpt.com" TargetMode="External" /><Relationship Type="http://schemas.openxmlformats.org/officeDocument/2006/relationships/hyperlink" Id="rId22" Target="https://pravo.gov.ru/proxy/ips/?docbody=&amp;nd=102089077&amp;utm_source=chatgpt.com" TargetMode="External" /><Relationship Type="http://schemas.openxmlformats.org/officeDocument/2006/relationships/hyperlink" Id="rId69" Target="https://pravo.gov.ru/proxy/ips/?docbody=&amp;nd=102108264&amp;utm_source=chatgpt.com" TargetMode="External" /><Relationship Type="http://schemas.openxmlformats.org/officeDocument/2006/relationships/hyperlink" Id="rId28" Target="https://pravo.gov.ru/proxy/ips/?docbody=&amp;nd=102146610&amp;utm_source=chatgpt.com" TargetMode="External" /><Relationship Type="http://schemas.openxmlformats.org/officeDocument/2006/relationships/hyperlink" Id="rId70" Target="https://publication.pravo.gov.ru/Document/View/0001202002070036?utm_source=chatgpt.com" TargetMode="External" /><Relationship Type="http://schemas.openxmlformats.org/officeDocument/2006/relationships/hyperlink" Id="rId72" Target="https://publication.pravo.gov.ru/Document/View/0001202109150022" TargetMode="External" /><Relationship Type="http://schemas.openxmlformats.org/officeDocument/2006/relationships/hyperlink" Id="rId40" Target="https://publication.pravo.gov.ru/document/0001201509240021" TargetMode="External" /><Relationship Type="http://schemas.openxmlformats.org/officeDocument/2006/relationships/hyperlink" Id="rId37" Target="https://publication.pravo.gov.ru/document/0001202010210009" TargetMode="External" /><Relationship Type="http://schemas.openxmlformats.org/officeDocument/2006/relationships/hyperlink" Id="rId71" Target="https://publication.pravo.gov.ru/document/0001202103090010" TargetMode="External" /><Relationship Type="http://schemas.openxmlformats.org/officeDocument/2006/relationships/hyperlink" Id="rId24" Target="https://publication.pravo.gov.ru/document/0001202408200007" TargetMode="External" /><Relationship Type="http://schemas.openxmlformats.org/officeDocument/2006/relationships/hyperlink" Id="rId36" Target="https://publication.pravo.gov.ru/document/view/0001201509100001?utm_source=chatgpt.com" TargetMode="External" /><Relationship Type="http://schemas.openxmlformats.org/officeDocument/2006/relationships/hyperlink" Id="rId35" Target="https://publication.pravo.gov.ru/document/view/0001201707260023" TargetMode="External" /><Relationship Type="http://schemas.openxmlformats.org/officeDocument/2006/relationships/hyperlink" Id="rId54" Target="https://uc1.1c.ru/course/elektronnaya-podpis-v-1s-dokumentooborot-i-1s-edo/" TargetMode="External" /><Relationship Type="http://schemas.openxmlformats.org/officeDocument/2006/relationships/hyperlink" Id="rId56" Target="https://v8.1c.ru/doc8/cena-1s-dokumentooborota-8/" TargetMode="External" /><Relationship Type="http://schemas.openxmlformats.org/officeDocument/2006/relationships/hyperlink" Id="rId38" Target="https://v8.1c.ru/doc8/vozmozhnosti-1s-dokumentooborota/" TargetMode="External" /><Relationship Type="http://schemas.openxmlformats.org/officeDocument/2006/relationships/hyperlink" Id="rId55" Target="https://v8.1c.ru/platforma/tonkiy-klient/" TargetMode="External" /><Relationship Type="http://schemas.openxmlformats.org/officeDocument/2006/relationships/hyperlink" Id="rId53" Target="https://www.directum.ru/blog-post/directumrx__novoe_oblachnoe_reshenie_dlja_dokumentooborota" TargetMode="External" /><Relationship Type="http://schemas.openxmlformats.org/officeDocument/2006/relationships/hyperlink" Id="rId68" Target="https://www.directum.ru/blog-post/vnedrenie_ehlektronnogo_dokumentooborota__kejjs_farmacevticheskojj_kompanii" TargetMode="External" /><Relationship Type="http://schemas.openxmlformats.org/officeDocument/2006/relationships/hyperlink" Id="rId58" Target="https://www.directum.ru/download/price.pdf" TargetMode="External" /><Relationship Type="http://schemas.openxmlformats.org/officeDocument/2006/relationships/hyperlink" Id="rId47" Target="https://www.directum.ru/solution/rx_document_management" TargetMode="External" /><Relationship Type="http://schemas.openxmlformats.org/officeDocument/2006/relationships/hyperlink" Id="rId44" Target="https://www.elastic.co/docs/reference/elasticsearch" TargetMode="External" /><Relationship Type="http://schemas.openxmlformats.org/officeDocument/2006/relationships/hyperlink" Id="rId65" Target="https://www.elastic.co/pricing/faq/licensing" TargetMode="External" /><Relationship Type="http://schemas.openxmlformats.org/officeDocument/2006/relationships/hyperlink" Id="rId41" Target="https://www.nalog.gov.ru/rn77/related_activities/el_doc/to_operator/11305068/" TargetMode="External" /><Relationship Type="http://schemas.openxmlformats.org/officeDocument/2006/relationships/hyperlink" Id="rId32" Target="https://www.rsuh.ru/upload/main/fdta/monograph.pdf" TargetMode="External" /><Relationship Type="http://schemas.openxmlformats.org/officeDocument/2006/relationships/hyperlink" Id="rId64" Target="https://www.vniidad.ru/gallery/MR_ENTD.pdf" TargetMode="External" /><Relationship Type="http://schemas.openxmlformats.org/officeDocument/2006/relationships/hyperlink" Id="rId45" Target="https://zakupki.gov.ru/epz/main/public/home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rchaeolog.ru/press/articles/k-70-letiyu-nakhodki-pervoy-berestyanoy-gramoty-v-novgorode" TargetMode="External" /><Relationship Type="http://schemas.openxmlformats.org/officeDocument/2006/relationships/hyperlink" Id="rId67" Target="https://consulting.1c.ru/cases/217537.html" TargetMode="External" /><Relationship Type="http://schemas.openxmlformats.org/officeDocument/2006/relationships/hyperlink" Id="rId39" Target="https://digital.gov.ru/activity/czifrovizacziya-gosudarstva/czifrovaya-transformacziya/czifrovye-platformy-i-resheniya-dlya-gosorganov/edinoe-informaczionnoe-prostranstvo-gosudarstvennogo-elektronnogo-dokumentooborota-eip-gosedo/gis-gosedo" TargetMode="External" /><Relationship Type="http://schemas.openxmlformats.org/officeDocument/2006/relationships/hyperlink" Id="rId43" Target="https://digital.gov.ru/documents/prikaz-minczifry-rossii-%E2%84%96-1026-o-vvode-v-ekspluatacziyu-gosudarstvennoj-informaczionnoj-sistemy-tipovoe-oblachnoe-reshenie-sistemy-elektronnogo-dokumentooborota" TargetMode="External" /><Relationship Type="http://schemas.openxmlformats.org/officeDocument/2006/relationships/hyperlink" Id="rId73" Target="https://docs.cntd.ru/document/1200142871?utm_source=chatgpt.com" TargetMode="External" /><Relationship Type="http://schemas.openxmlformats.org/officeDocument/2006/relationships/hyperlink" Id="rId21" Target="https://docs.cntd.ru/document/901932680" TargetMode="External" /><Relationship Type="http://schemas.openxmlformats.org/officeDocument/2006/relationships/hyperlink" Id="rId23" Target="https://docs.historyrussia.org/ru/nodes/335422-generalnyy-reglament-fevralya-27-dnya-1720-goda" TargetMode="External" /><Relationship Type="http://schemas.openxmlformats.org/officeDocument/2006/relationships/hyperlink" Id="rId60" Target="https://docsvision.com/docs/BaseObjects/554/UserGuide/topics/DCard_sign.html" TargetMode="External" /><Relationship Type="http://schemas.openxmlformats.org/officeDocument/2006/relationships/hyperlink" Id="rId59" Target="https://docsvision.com/ecm-bpm/functional/interfaces/web-client/" TargetMode="External" /><Relationship Type="http://schemas.openxmlformats.org/officeDocument/2006/relationships/hyperlink" Id="rId57" Target="https://docsvision.com/price/" TargetMode="External" /><Relationship Type="http://schemas.openxmlformats.org/officeDocument/2006/relationships/hyperlink" Id="rId61" Target="https://docsvision.com/projects/administratsiya-ekaterinburga/" TargetMode="External" /><Relationship Type="http://schemas.openxmlformats.org/officeDocument/2006/relationships/hyperlink" Id="rId51" Target="https://eos.ru/eos_products/eos_delo/czeny-sed-delo/" TargetMode="External" /><Relationship Type="http://schemas.openxmlformats.org/officeDocument/2006/relationships/hyperlink" Id="rId48" Target="https://eos.ru/eos_products/eos_delo/sed-delo/" TargetMode="External" /><Relationship Type="http://schemas.openxmlformats.org/officeDocument/2006/relationships/hyperlink" Id="rId25" Target="https://eos.ru/eos_products/solution/modul-iskusstvennogo-intellekta-sed-delo/" TargetMode="External" /><Relationship Type="http://schemas.openxmlformats.org/officeDocument/2006/relationships/hyperlink" Id="rId52" Target="https://eos.ru/press-center/news/vnedrenie-sed-delo-v-organah-vlasti-orlovskoj-oblasti/" TargetMode="External" /><Relationship Type="http://schemas.openxmlformats.org/officeDocument/2006/relationships/hyperlink" Id="rId49" Target="https://eos.ru/resheniya-elektronnaya-podpis-i-zashhita-informaczii/" TargetMode="External" /><Relationship Type="http://schemas.openxmlformats.org/officeDocument/2006/relationships/hyperlink" Id="rId50" Target="https://eos.ru/wp-content/uploads/2023/10/rukpol-820-delo-web.pdf" TargetMode="External" /><Relationship Type="http://schemas.openxmlformats.org/officeDocument/2006/relationships/hyperlink" Id="rId27" Target="https://files.stroyinf.ru/Data/844/84468.pdf?utm_source=chatgpt.com" TargetMode="External" /><Relationship Type="http://schemas.openxmlformats.org/officeDocument/2006/relationships/hyperlink" Id="rId46" Target="https://gasu.gov.ru/" TargetMode="External" /><Relationship Type="http://schemas.openxmlformats.org/officeDocument/2006/relationships/hyperlink" Id="rId31" Target="https://iriran.ru/files/vorobiev.pdf" TargetMode="External" /><Relationship Type="http://schemas.openxmlformats.org/officeDocument/2006/relationships/hyperlink" Id="rId63" Target="https://normativ.kontur.ru/document?documentId=476681&amp;moduleId=1" TargetMode="External" /><Relationship Type="http://schemas.openxmlformats.org/officeDocument/2006/relationships/hyperlink" Id="rId34" Target="https://pravo.gov.ru/proxy/ips/?backlink=1&amp;docbody=&amp;nd=102130295&amp;prevDoc=102151998&amp;rdk=0&amp;utm_source=chatgpt.com" TargetMode="External" /><Relationship Type="http://schemas.openxmlformats.org/officeDocument/2006/relationships/hyperlink" Id="rId22" Target="https://pravo.gov.ru/proxy/ips/?docbody=&amp;nd=102089077&amp;utm_source=chatgpt.com" TargetMode="External" /><Relationship Type="http://schemas.openxmlformats.org/officeDocument/2006/relationships/hyperlink" Id="rId69" Target="https://pravo.gov.ru/proxy/ips/?docbody=&amp;nd=102108264&amp;utm_source=chatgpt.com" TargetMode="External" /><Relationship Type="http://schemas.openxmlformats.org/officeDocument/2006/relationships/hyperlink" Id="rId28" Target="https://pravo.gov.ru/proxy/ips/?docbody=&amp;nd=102146610&amp;utm_source=chatgpt.com" TargetMode="External" /><Relationship Type="http://schemas.openxmlformats.org/officeDocument/2006/relationships/hyperlink" Id="rId70" Target="https://publication.pravo.gov.ru/Document/View/0001202002070036?utm_source=chatgpt.com" TargetMode="External" /><Relationship Type="http://schemas.openxmlformats.org/officeDocument/2006/relationships/hyperlink" Id="rId72" Target="https://publication.pravo.gov.ru/Document/View/0001202109150022" TargetMode="External" /><Relationship Type="http://schemas.openxmlformats.org/officeDocument/2006/relationships/hyperlink" Id="rId40" Target="https://publication.pravo.gov.ru/document/0001201509240021" TargetMode="External" /><Relationship Type="http://schemas.openxmlformats.org/officeDocument/2006/relationships/hyperlink" Id="rId37" Target="https://publication.pravo.gov.ru/document/0001202010210009" TargetMode="External" /><Relationship Type="http://schemas.openxmlformats.org/officeDocument/2006/relationships/hyperlink" Id="rId71" Target="https://publication.pravo.gov.ru/document/0001202103090010" TargetMode="External" /><Relationship Type="http://schemas.openxmlformats.org/officeDocument/2006/relationships/hyperlink" Id="rId24" Target="https://publication.pravo.gov.ru/document/0001202408200007" TargetMode="External" /><Relationship Type="http://schemas.openxmlformats.org/officeDocument/2006/relationships/hyperlink" Id="rId36" Target="https://publication.pravo.gov.ru/document/view/0001201509100001?utm_source=chatgpt.com" TargetMode="External" /><Relationship Type="http://schemas.openxmlformats.org/officeDocument/2006/relationships/hyperlink" Id="rId35" Target="https://publication.pravo.gov.ru/document/view/0001201707260023" TargetMode="External" /><Relationship Type="http://schemas.openxmlformats.org/officeDocument/2006/relationships/hyperlink" Id="rId54" Target="https://uc1.1c.ru/course/elektronnaya-podpis-v-1s-dokumentooborot-i-1s-edo/" TargetMode="External" /><Relationship Type="http://schemas.openxmlformats.org/officeDocument/2006/relationships/hyperlink" Id="rId56" Target="https://v8.1c.ru/doc8/cena-1s-dokumentooborota-8/" TargetMode="External" /><Relationship Type="http://schemas.openxmlformats.org/officeDocument/2006/relationships/hyperlink" Id="rId38" Target="https://v8.1c.ru/doc8/vozmozhnosti-1s-dokumentooborota/" TargetMode="External" /><Relationship Type="http://schemas.openxmlformats.org/officeDocument/2006/relationships/hyperlink" Id="rId55" Target="https://v8.1c.ru/platforma/tonkiy-klient/" TargetMode="External" /><Relationship Type="http://schemas.openxmlformats.org/officeDocument/2006/relationships/hyperlink" Id="rId53" Target="https://www.directum.ru/blog-post/directumrx__novoe_oblachnoe_reshenie_dlja_dokumentooborota" TargetMode="External" /><Relationship Type="http://schemas.openxmlformats.org/officeDocument/2006/relationships/hyperlink" Id="rId68" Target="https://www.directum.ru/blog-post/vnedrenie_ehlektronnogo_dokumentooborota__kejjs_farmacevticheskojj_kompanii" TargetMode="External" /><Relationship Type="http://schemas.openxmlformats.org/officeDocument/2006/relationships/hyperlink" Id="rId58" Target="https://www.directum.ru/download/price.pdf" TargetMode="External" /><Relationship Type="http://schemas.openxmlformats.org/officeDocument/2006/relationships/hyperlink" Id="rId47" Target="https://www.directum.ru/solution/rx_document_management" TargetMode="External" /><Relationship Type="http://schemas.openxmlformats.org/officeDocument/2006/relationships/hyperlink" Id="rId44" Target="https://www.elastic.co/docs/reference/elasticsearch" TargetMode="External" /><Relationship Type="http://schemas.openxmlformats.org/officeDocument/2006/relationships/hyperlink" Id="rId65" Target="https://www.elastic.co/pricing/faq/licensing" TargetMode="External" /><Relationship Type="http://schemas.openxmlformats.org/officeDocument/2006/relationships/hyperlink" Id="rId41" Target="https://www.nalog.gov.ru/rn77/related_activities/el_doc/to_operator/11305068/" TargetMode="External" /><Relationship Type="http://schemas.openxmlformats.org/officeDocument/2006/relationships/hyperlink" Id="rId32" Target="https://www.rsuh.ru/upload/main/fdta/monograph.pdf" TargetMode="External" /><Relationship Type="http://schemas.openxmlformats.org/officeDocument/2006/relationships/hyperlink" Id="rId64" Target="https://www.vniidad.ru/gallery/MR_ENTD.pdf" TargetMode="External" /><Relationship Type="http://schemas.openxmlformats.org/officeDocument/2006/relationships/hyperlink" Id="rId45" Target="https://zakupki.gov.ru/epz/main/public/home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2026-03-04T09:19:57Z</dcterms:created>
  <dcterms:modified xsi:type="dcterms:W3CDTF">2026-03-04T09:19:57Z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