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tate_of_the_art_methods_for_data_737b4c"/>
      <w:r>
        <w:rPr>
          <w:b/>
          <w:sz w:val="56"/>
        </w:rPr>
        <w:t xml:space="preserve">State-of-the-Art Methods for Data Annotation in Maritime Environments: A Bibliography for USV Operations in Arctic Conditions</w:t>
      </w:r>
      <w:bookmarkEnd w:id="0"/>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bm_1_maritime_segmentation_datase_2b4912"/>
      <w:r>
        <w:rPr>
          <w:b/>
          <w:sz w:val="42"/>
        </w:rPr>
        <w:t xml:space="preserve">1. Maritime Segmentation Datasets &amp; Annotation Protocols</w:t>
      </w:r>
      <w:bookmarkEnd w:id="1"/>
    </w:p>
    <w:p>
      <w:pPr>
        <w:spacing w:line="271" w:before="240" w:lineRule="auto"/>
      </w:pPr>
      <w:bookmarkStart w:id="2" w:name="bm_1_1_mastr1325_maritime_semanti_89ad95"/>
      <w:r>
        <w:rPr>
          <w:rFonts w:eastAsia="Georgia" w:cs="Georgia" w:ascii="Georgia" w:hAnsi="Georgia"/>
          <w:b/>
          <w:sz w:val="33"/>
        </w:rPr>
        <w:t xml:space="preserve">1.1 MaSTr1325 — Maritime Semantic Segmentation Training Dataset</w:t>
      </w:r>
      <w:bookmarkEnd w:id="2"/>
    </w:p>
    <w:p>
      <w:pPr>
        <w:spacing w:after="210" w:lineRule="auto"/>
      </w:pPr>
      <w:r>
        <w:rPr>
          <w:b/>
        </w:rPr>
        <w:t xml:space="preserve">Paper:</w:t>
      </w:r>
      <w:r>
        <w:rPr>
          <w:rFonts w:eastAsia="Georgia" w:cs="Georgia" w:ascii="Georgia" w:hAnsi="Georgia"/>
        </w:rPr>
        <w:t xml:space="preserve"> Bovcon, B., Muhovič, J., Perš, J., &amp; Kristan, M. "The MaSTr1325 dataset for training deep USV obstacle detection models." </w:t>
      </w:r>
      <w:r>
        <w:rPr>
          <w:i/>
        </w:rPr>
        <w:t xml:space="preserve">2019 IEEE/RSJ International Conference on Intelligent Robots and Systems (IROS)</w:t>
      </w:r>
      <w:r>
        <w:rPr>
          <w:rFonts w:eastAsia="Georgia" w:cs="Georgia" w:ascii="Georgia" w:hAnsi="Georgia"/>
        </w:rPr>
        <w:t xml:space="preserve">, pp. 3431–3438, 2019.[1]</w:t>
      </w:r>
    </w:p>
    <w:p>
      <w:pPr>
        <w:spacing w:after="210" w:lineRule="auto"/>
      </w:pPr>
      <w:r>
        <w:rPr>
          <w:b/>
        </w:rPr>
        <w:t xml:space="preserve">PDF:</w:t>
      </w:r>
      <w:r>
        <w:rPr/>
        <w:t xml:space="preserve"> </w:t>
      </w:r>
      <w:hyperlink r:id="rId5">
        <w:r>
          <w:rPr>
            <w:color w:val="4472C4"/>
          </w:rPr>
          <w:t xml:space="preserve">https://prints.vicos.si/publications/373</w:t>
        </w:r>
      </w:hyperlink>
    </w:p>
    <w:p>
      <w:pPr>
        <w:spacing w:after="210" w:lineRule="auto"/>
      </w:pPr>
      <w:r>
        <w:rPr>
          <w:b/>
        </w:rPr>
        <w:t xml:space="preserve">Dataset page:</w:t>
      </w:r>
      <w:r>
        <w:rPr/>
        <w:t xml:space="preserve"> </w:t>
      </w:r>
      <w:hyperlink r:id="rId6">
        <w:r>
          <w:rPr>
            <w:color w:val="4472C4"/>
          </w:rPr>
          <w:t xml:space="preserve">https://www.vicos.si/resources/mastr1325/[2]</w:t>
        </w:r>
      </w:hyperlink>
    </w:p>
    <w:p>
      <w:pPr>
        <w:spacing w:after="210" w:lineRule="auto"/>
      </w:pPr>
      <w:r>
        <w:rPr>
          <w:b/>
        </w:rPr>
        <w:t xml:space="preserve">Annotation Methodology:</w:t>
      </w:r>
    </w:p>
    <w:p>
      <w:pPr>
        <w:numPr>
          <w:ilvl w:val="0"/>
          <w:numId w:val="1"/>
        </w:numPr>
        <w:spacing w:lineRule="auto"/>
      </w:pPr>
      <w:r>
        <w:rPr>
          <w:b/>
        </w:rPr>
        <w:t xml:space="preserve">Classes (3+1):</w:t>
      </w:r>
      <w:r>
        <w:rPr/>
        <w:t xml:space="preserve"> Sea/water (value 1), sky (value 2), obstacles and environment (value 0), and an </w:t>
      </w:r>
      <w:r>
        <w:rPr>
          <w:i/>
        </w:rPr>
        <w:t xml:space="preserve">unknown/ignore</w:t>
      </w:r>
      <w:r>
        <w:rPr/>
        <w:t xml:space="preserve"> category (value 4)[3]</w:t>
      </w:r>
    </w:p>
    <w:p>
      <w:pPr>
        <w:numPr>
          <w:ilvl w:val="0"/>
          <w:numId w:val="1"/>
        </w:numPr>
        <w:spacing w:lineRule="auto"/>
      </w:pPr>
      <w:r>
        <w:rPr>
          <w:b/>
        </w:rPr>
        <w:t xml:space="preserve">Segmentation type:</w:t>
      </w:r>
      <w:r>
        <w:rPr/>
        <w:t xml:space="preserve"> Per-pixel </w:t>
      </w:r>
      <w:r>
        <w:rPr>
          <w:i/>
        </w:rPr>
        <w:t xml:space="preserve">semantic segmentation</w:t>
      </w:r>
      <w:r>
        <w:rPr/>
        <w:t xml:space="preserve"> (no instance-level annotations)</w:t>
      </w:r>
    </w:p>
    <w:p>
      <w:pPr>
        <w:numPr>
          <w:ilvl w:val="0"/>
          <w:numId w:val="1"/>
        </w:numPr>
        <w:spacing w:lineRule="auto"/>
      </w:pPr>
      <w:r>
        <w:rPr>
          <w:b/>
        </w:rPr>
        <w:t xml:space="preserve">Handling water edges:</w:t>
      </w:r>
      <w:r>
        <w:rPr>
          <w:rFonts w:eastAsia="Georgia" w:cs="Georgia" w:ascii="Georgia" w:hAnsi="Georgia"/>
        </w:rPr>
        <w:t xml:space="preserve"> Edges between semantically different regions (e.g., water–obstacle boundaries) are explicitly labeled with the </w:t>
      </w:r>
      <w:r>
        <w:rPr>
          <w:b/>
        </w:rPr>
        <w:t xml:space="preserve">unknown category</w:t>
      </w:r>
      <w:r>
        <w:rPr/>
        <w:t xml:space="preserve"> to account for annotation uncertainty at transition zones. These pixels are excluded from learning[3]</w:t>
      </w:r>
    </w:p>
    <w:p>
      <w:pPr>
        <w:numPr>
          <w:ilvl w:val="0"/>
          <w:numId w:val="1"/>
        </w:numPr>
        <w:spacing w:lineRule="auto"/>
      </w:pPr>
      <w:r>
        <w:rPr>
          <w:b/>
        </w:rPr>
        <w:t xml:space="preserve">Reflections &amp; horizon:</w:t>
      </w:r>
      <w:r>
        <w:rPr/>
        <w:t xml:space="preserve"> No explicit reflection class. The dataset captures a variety of lighting conditions and times of day over a two-year collection period in the Gulf of Koper, Slovenia, but reflections are handled implicitly via the environment/obstacle class[2]</w:t>
      </w:r>
    </w:p>
    <w:p>
      <w:pPr>
        <w:numPr>
          <w:ilvl w:val="0"/>
          <w:numId w:val="1"/>
        </w:numPr>
        <w:spacing w:lineRule="auto"/>
      </w:pPr>
      <w:r>
        <w:rPr>
          <w:b/>
        </w:rPr>
        <w:t xml:space="preserve">Annotation process:</w:t>
      </w:r>
      <w:r>
        <w:rPr/>
        <w:t xml:space="preserve"> Each image was manually annotated using an image editing software supporting multiple layers per image. Each semantic region was annotated in a separate layer using multiple-sized brushes. All annotations were verified and corrected by an expert. The process took approximately </w:t>
      </w:r>
      <w:r>
        <w:rPr>
          <w:b/>
        </w:rPr>
        <w:t xml:space="preserve">20 minutes per image</w:t>
      </w:r>
      <w:r>
        <w:rPr/>
        <w:t xml:space="preserve">[3]</w:t>
      </w:r>
    </w:p>
    <w:p>
      <w:pPr>
        <w:numPr>
          <w:ilvl w:val="0"/>
          <w:numId w:val="1"/>
        </w:numPr>
        <w:spacing w:lineRule="auto"/>
      </w:pPr>
      <w:r>
        <w:rPr>
          <w:b/>
        </w:rPr>
        <w:t xml:space="preserve">Scale:</w:t>
      </w:r>
      <w:r>
        <w:rPr>
          <w:rFonts w:eastAsia="Georgia" w:cs="Georgia" w:ascii="Georgia" w:hAnsi="Georgia"/>
        </w:rPr>
        <w:t xml:space="preserve"> 1,325 images at 1278×958 pixels, synchronized with IMU/GPS data[4]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1_2_modd_modd2_marine_obstacle_69510d"/>
      <w:r>
        <w:rPr>
          <w:rFonts w:eastAsia="Georgia" w:cs="Georgia" w:ascii="Georgia" w:hAnsi="Georgia"/>
          <w:b/>
          <w:sz w:val="33"/>
        </w:rPr>
        <w:t xml:space="preserve">1.2 MODD &amp; MODD2 — Marine Obstacle Detection Datasets</w:t>
      </w:r>
      <w:bookmarkEnd w:id="3"/>
    </w:p>
    <w:p>
      <w:pPr>
        <w:spacing w:after="210" w:lineRule="auto"/>
      </w:pPr>
      <w:r>
        <w:rPr>
          <w:b/>
        </w:rPr>
        <w:t xml:space="preserve">MODD v1 Paper:</w:t>
      </w:r>
      <w:r>
        <w:rPr>
          <w:rFonts w:eastAsia="Georgia" w:cs="Georgia" w:ascii="Georgia" w:hAnsi="Georgia"/>
        </w:rPr>
        <w:t xml:space="preserve"> Kristan, M., Šulić, V., Kovačič, S., &amp; Perš, J. "Fast Image-Based Obstacle Detection From Unmanned Surface Vehicles." </w:t>
      </w:r>
      <w:r>
        <w:rPr>
          <w:i/>
        </w:rPr>
        <w:t xml:space="preserve">IEEE Transactions on Cybernetics</w:t>
      </w:r>
      <w:r>
        <w:rPr>
          <w:rFonts w:eastAsia="Georgia" w:cs="Georgia" w:ascii="Georgia" w:hAnsi="Georgia"/>
        </w:rPr>
        <w:t xml:space="preserve">, vol. 46, no. 3, pp. 641–654, March 2016.[5]</w:t>
      </w:r>
    </w:p>
    <w:p>
      <w:pPr>
        <w:spacing w:after="210" w:lineRule="auto"/>
      </w:pPr>
      <w:r>
        <w:rPr>
          <w:b/>
        </w:rPr>
        <w:t xml:space="preserve">Dataset page:</w:t>
      </w:r>
      <w:r>
        <w:rPr/>
        <w:t xml:space="preserve"> </w:t>
      </w:r>
      <w:hyperlink r:id="rId7">
        <w:r>
          <w:rPr>
            <w:color w:val="4472C4"/>
          </w:rPr>
          <w:t xml:space="preserve">https://www.vicos.si/resources/modd/[6]</w:t>
        </w:r>
      </w:hyperlink>
    </w:p>
    <w:p>
      <w:pPr>
        <w:spacing w:after="210" w:lineRule="auto"/>
      </w:pPr>
      <w:r>
        <w:rPr>
          <w:b/>
        </w:rPr>
        <w:t xml:space="preserve">MODD2 Paper:</w:t>
      </w:r>
      <w:r>
        <w:rPr>
          <w:rFonts w:eastAsia="Georgia" w:cs="Georgia" w:ascii="Georgia" w:hAnsi="Georgia"/>
        </w:rPr>
        <w:t xml:space="preserve"> Bovcon, B., Mandeljc, R., Perš, J., &amp; Kristan, M. "Stereo obstacle detection for unmanned surface vehicles by IMU-assisted semantic segmentation." </w:t>
      </w:r>
      <w:r>
        <w:rPr>
          <w:i/>
        </w:rPr>
        <w:t xml:space="preserve">Robotics and Autonomous Systems</w:t>
      </w:r>
      <w:r>
        <w:rPr/>
        <w:t xml:space="preserve">, vol. 104, 2018.[7]</w:t>
      </w:r>
    </w:p>
    <w:p>
      <w:pPr>
        <w:spacing w:after="210" w:lineRule="auto"/>
      </w:pPr>
      <w:r>
        <w:rPr>
          <w:b/>
        </w:rPr>
        <w:t xml:space="preserve">PDF:</w:t>
      </w:r>
      <w:r>
        <w:rPr/>
        <w:t xml:space="preserve"> </w:t>
      </w:r>
      <w:hyperlink r:id="rId8">
        <w:r>
          <w:rPr>
            <w:color w:val="4472C4"/>
          </w:rPr>
          <w:t xml:space="preserve">https://arxiv.org/abs/1802.07956</w:t>
        </w:r>
      </w:hyperlink>
    </w:p>
    <w:p>
      <w:pPr>
        <w:spacing w:after="210" w:lineRule="auto"/>
      </w:pPr>
      <w:r>
        <w:rPr>
          <w:b/>
        </w:rPr>
        <w:t xml:space="preserve">Annotation Methodology:</w:t>
      </w:r>
    </w:p>
    <w:p>
      <w:pPr>
        <w:numPr>
          <w:ilvl w:val="0"/>
          <w:numId w:val="2"/>
        </w:numPr>
        <w:spacing w:lineRule="auto"/>
      </w:pPr>
      <w:r>
        <w:rPr>
          <w:b/>
        </w:rPr>
        <w:t xml:space="preserve">Classes:</w:t>
      </w:r>
      <w:r>
        <w:rPr>
          <w:rFonts w:eastAsia="Georgia" w:cs="Georgia" w:ascii="Georgia" w:hAnsi="Georgia"/>
        </w:rPr>
        <w:t xml:space="preserve"> Three natural semantic regions — sky, shore/land, and sea — plus obstacle annotations[6]</w:t>
      </w:r>
    </w:p>
    <w:p>
      <w:pPr>
        <w:numPr>
          <w:ilvl w:val="0"/>
          <w:numId w:val="2"/>
        </w:numPr>
        <w:spacing w:lineRule="auto"/>
      </w:pPr>
      <w:r>
        <w:rPr>
          <w:b/>
        </w:rPr>
        <w:t xml:space="preserve">MODD v1:</w:t>
      </w:r>
      <w:r>
        <w:rPr/>
        <w:t xml:space="preserve"> 12 fully annotated video sequences. Obstacles are annotated as: large obstacles (straddling the water edge), small obstacles (enclosed within the sea surface), water edge (polyline/polygon), and </w:t>
      </w:r>
      <w:r>
        <w:rPr>
          <w:i/>
        </w:rPr>
        <w:t xml:space="preserve">glitter regions</w:t>
      </w:r>
      <w:r>
        <w:rPr/>
        <w:t xml:space="preserve"> (explicitly marked in sequences without obstacles)[5]</w:t>
      </w:r>
    </w:p>
    <w:p>
      <w:pPr>
        <w:numPr>
          <w:ilvl w:val="0"/>
          <w:numId w:val="2"/>
        </w:numPr>
        <w:spacing w:lineRule="auto"/>
      </w:pPr>
      <w:r>
        <w:rPr>
          <w:b/>
        </w:rPr>
        <w:t xml:space="preserve">MODD2 extensions:</w:t>
      </w:r>
      <w:r>
        <w:rPr/>
        <w:t xml:space="preserve"> 28 stereo camera sequences synchronized with an IMU. Adds stereo disparity information for depth-based verification. Dynamic obstacles annotated with </w:t>
      </w:r>
      <w:r>
        <w:rPr>
          <w:b/>
        </w:rPr>
        <w:t xml:space="preserve">bounding boxes</w:t>
      </w:r>
      <w:r>
        <w:rPr/>
        <w:t xml:space="preserve">; static obstacles (shoreline, piers) annotated with </w:t>
      </w:r>
      <w:r>
        <w:rPr>
          <w:b/>
        </w:rPr>
        <w:t xml:space="preserve">polylines</w:t>
      </w:r>
      <w:r>
        <w:rPr>
          <w:rFonts w:eastAsia="Georgia" w:cs="Georgia" w:ascii="Georgia" w:hAnsi="Georgia"/>
        </w:rPr>
        <w:t xml:space="preserve"> marking the water–obstacle boundary[8][7]</w:t>
      </w:r>
    </w:p>
    <w:p>
      <w:pPr>
        <w:numPr>
          <w:ilvl w:val="0"/>
          <w:numId w:val="2"/>
        </w:numPr>
        <w:spacing w:lineRule="auto"/>
      </w:pPr>
      <w:r>
        <w:rPr>
          <w:b/>
        </w:rPr>
        <w:t xml:space="preserve">Segmentation type:</w:t>
      </w:r>
      <w:r>
        <w:rPr/>
        <w:t xml:space="preserve"> Primarily </w:t>
      </w:r>
      <w:r>
        <w:rPr>
          <w:i/>
        </w:rPr>
        <w:t xml:space="preserve">semantic segmentation</w:t>
      </w:r>
      <w:r>
        <w:rPr/>
        <w:t xml:space="preserve"> for the three-region model; dynamic obstacles use bounding boxes rather than pixel-level masks</w:t>
      </w:r>
    </w:p>
    <w:p>
      <w:pPr>
        <w:numPr>
          <w:ilvl w:val="0"/>
          <w:numId w:val="2"/>
        </w:numPr>
        <w:spacing w:lineRule="auto"/>
      </w:pPr>
      <w:r>
        <w:rPr>
          <w:b/>
        </w:rPr>
        <w:t xml:space="preserve">Handling water edge &amp; horizon:</w:t>
      </w:r>
      <w:r>
        <w:rPr/>
        <w:t xml:space="preserve"> The IMU data is used to estimate horizon location, automatically adjusting priors in the probabilistic segmentation model. The water edge boundary is explicitly annotated as a polyline[7]</w:t>
      </w:r>
    </w:p>
    <w:p>
      <w:pPr>
        <w:numPr>
          <w:ilvl w:val="0"/>
          <w:numId w:val="2"/>
        </w:numPr>
        <w:spacing w:lineRule="auto"/>
      </w:pPr>
      <w:r>
        <w:rPr>
          <w:b/>
        </w:rPr>
        <w:t xml:space="preserve">Reflections &amp; glitter:</w:t>
      </w:r>
      <w:r>
        <w:rPr/>
        <w:t xml:space="preserve"> MODD v1 explicitly marks sun glitter regions in annotation. The IMU-assisted approach in MODD2 helps distinguish between water reflections and actual obstacles by using inertial measurements to predict expected water surface geometry[5]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bm_1_3_lars_lakes_rivers_and_seas_fab627"/>
      <w:r>
        <w:rPr>
          <w:rFonts w:eastAsia="Georgia" w:cs="Georgia" w:ascii="Georgia" w:hAnsi="Georgia"/>
          <w:b/>
          <w:sz w:val="33"/>
        </w:rPr>
        <w:t xml:space="preserve">1.3 LaRS — Lakes, Rivers and Seas Dataset</w:t>
      </w:r>
      <w:bookmarkEnd w:id="4"/>
    </w:p>
    <w:p>
      <w:pPr>
        <w:spacing w:after="210" w:lineRule="auto"/>
      </w:pPr>
      <w:r>
        <w:rPr>
          <w:b/>
        </w:rPr>
        <w:t xml:space="preserve">Paper:</w:t>
      </w:r>
      <w:r>
        <w:rPr>
          <w:rFonts w:eastAsia="Georgia" w:cs="Georgia" w:ascii="Georgia" w:hAnsi="Georgia"/>
        </w:rPr>
        <w:t xml:space="preserve"> Žust, L., Perš, J., &amp; Kristan, M. "LaRS: A Diverse Panoptic Maritime Obstacle Detection Dataset and Benchmark." </w:t>
      </w:r>
      <w:r>
        <w:rPr>
          <w:i/>
        </w:rPr>
        <w:t xml:space="preserve">Proceedings of the IEEE/CVF International Conference on Computer Vision (ICCV)</w:t>
      </w:r>
      <w:r>
        <w:rPr>
          <w:rFonts w:eastAsia="Georgia" w:cs="Georgia" w:ascii="Georgia" w:hAnsi="Georgia"/>
        </w:rPr>
        <w:t xml:space="preserve">, pp. 20304–20313, 2023.[9]</w:t>
      </w:r>
    </w:p>
    <w:p>
      <w:pPr>
        <w:spacing w:after="210" w:lineRule="auto"/>
      </w:pPr>
      <w:r>
        <w:rPr>
          <w:b/>
        </w:rPr>
        <w:t xml:space="preserve">PDF:</w:t>
      </w:r>
      <w:r>
        <w:rPr/>
        <w:t xml:space="preserve"> </w:t>
      </w:r>
      <w:hyperlink r:id="rId9">
        <w:r>
          <w:rPr>
            <w:rFonts w:eastAsia="Georgia" w:cs="Georgia" w:ascii="Georgia" w:hAnsi="Georgia"/>
            <w:color w:val="4472C4"/>
          </w:rPr>
          <w:t xml:space="preserve">https://openaccess.thecvf.com/content/ICCV2023/papers/Zust_LaRS_A_Diverse_Panoptic_Maritime_Obstacle_Detection_Dataset_and_Benchmark_ICCV_2023_paper.pdf</w:t>
        </w:r>
      </w:hyperlink>
    </w:p>
    <w:p>
      <w:pPr>
        <w:spacing w:after="210" w:lineRule="auto"/>
      </w:pPr>
      <w:r>
        <w:rPr>
          <w:b/>
        </w:rPr>
        <w:t xml:space="preserve">Dataset page:</w:t>
      </w:r>
      <w:r>
        <w:rPr/>
        <w:t xml:space="preserve"> </w:t>
      </w:r>
      <w:hyperlink r:id="rId10">
        <w:r>
          <w:rPr>
            <w:color w:val="4472C4"/>
          </w:rPr>
          <w:t xml:space="preserve">https://lojzezust.github.io/lars-dataset[10]</w:t>
        </w:r>
      </w:hyperlink>
    </w:p>
    <w:p>
      <w:pPr>
        <w:spacing w:after="210" w:lineRule="auto"/>
      </w:pPr>
      <w:r>
        <w:rPr>
          <w:b/>
        </w:rPr>
        <w:t xml:space="preserve">Annotation Methodology:</w:t>
      </w:r>
    </w:p>
    <w:p>
      <w:pPr>
        <w:numPr>
          <w:ilvl w:val="0"/>
          <w:numId w:val="3"/>
        </w:numPr>
        <w:spacing w:lineRule="auto"/>
      </w:pPr>
      <w:r>
        <w:rPr>
          <w:b/>
        </w:rPr>
        <w:t xml:space="preserve">Stuff classes (3):</w:t>
      </w:r>
      <w:r>
        <w:rPr/>
        <w:t xml:space="preserve"> Water, sky, and static obstacles (shores, piers, bridges)[11]</w:t>
      </w:r>
    </w:p>
    <w:p>
      <w:pPr>
        <w:numPr>
          <w:ilvl w:val="0"/>
          <w:numId w:val="3"/>
        </w:numPr>
        <w:spacing w:lineRule="auto"/>
      </w:pPr>
      <w:r>
        <w:rPr>
          <w:b/>
        </w:rPr>
        <w:t xml:space="preserve">Thing classes (8):</w:t>
      </w:r>
      <w:r>
        <w:rPr/>
        <w:t xml:space="preserve"> Boat/ship (69.4% of instances), buoy (12.2%), other (5.0%), row boat (4.2%), swimmer (3.7%), animal (3.6%), paddle board (1.6%), float (0.2%)[11]</w:t>
      </w:r>
    </w:p>
    <w:p>
      <w:pPr>
        <w:numPr>
          <w:ilvl w:val="0"/>
          <w:numId w:val="3"/>
        </w:numPr>
        <w:spacing w:lineRule="auto"/>
      </w:pPr>
      <w:r>
        <w:rPr>
          <w:b/>
        </w:rPr>
        <w:t xml:space="preserve">Segmentation type:</w:t>
      </w:r>
      <w:r>
        <w:rPr/>
        <w:t xml:space="preserve"> Full </w:t>
      </w:r>
      <w:r>
        <w:rPr>
          <w:b/>
        </w:rPr>
        <w:t xml:space="preserve">panoptic segmentation</w:t>
      </w:r>
      <w:r>
        <w:rPr>
          <w:rFonts w:eastAsia="Georgia" w:cs="Georgia" w:ascii="Georgia" w:hAnsi="Georgia"/>
        </w:rPr>
        <w:t xml:space="preserve"> — the first publicly available maritime panoptic dataset. Combines stuff (semantic) and thing (instance) segmentation[9]</w:t>
      </w:r>
    </w:p>
    <w:p>
      <w:pPr>
        <w:numPr>
          <w:ilvl w:val="0"/>
          <w:numId w:val="3"/>
        </w:numPr>
        <w:spacing w:lineRule="auto"/>
      </w:pPr>
      <w:r>
        <w:rPr>
          <w:b/>
        </w:rPr>
        <w:t xml:space="preserve">Global scene attributes (19):</w:t>
      </w:r>
      <w:r>
        <w:rPr/>
        <w:t xml:space="preserve"> Each key frame is annotated with attributes covering environment type (river-like 28.3%, sea/lake-like 71.7%), illumination (day/dawn/night), </w:t>
      </w:r>
      <w:r>
        <w:rPr>
          <w:b/>
        </w:rPr>
        <w:t xml:space="preserve">reflection levels</w:t>
      </w:r>
      <w:r>
        <w:rPr/>
        <w:t xml:space="preserve"> (none 48.4%, moderate 47.7%, heavy 3.8%), surface roughness (still/disturbed/rough), and conditions including under-/over-exposure, </w:t>
      </w:r>
      <w:r>
        <w:rPr>
          <w:b/>
        </w:rPr>
        <w:t xml:space="preserve">sun glitter</w:t>
      </w:r>
      <w:r>
        <w:rPr/>
        <w:t xml:space="preserve"> (1.1%), dirty lens, </w:t>
      </w:r>
      <w:r>
        <w:rPr>
          <w:b/>
        </w:rPr>
        <w:t xml:space="preserve">fog</w:t>
      </w:r>
      <w:r>
        <w:rPr/>
        <w:t xml:space="preserve"> (0.6%), </w:t>
      </w:r>
      <w:r>
        <w:rPr>
          <w:b/>
        </w:rPr>
        <w:t xml:space="preserve">rain</w:t>
      </w:r>
      <w:r>
        <w:rPr/>
        <w:t xml:space="preserve"> (2.6%), wakes (92.1%), and plants/debris[12]</w:t>
      </w:r>
    </w:p>
    <w:p>
      <w:pPr>
        <w:numPr>
          <w:ilvl w:val="0"/>
          <w:numId w:val="3"/>
        </w:numPr>
        <w:spacing w:lineRule="auto"/>
      </w:pPr>
      <w:r>
        <w:rPr>
          <w:b/>
        </w:rPr>
        <w:t xml:space="preserve">Handling water edges:</w:t>
      </w:r>
      <w:r>
        <w:rPr/>
        <w:t xml:space="preserve"> Water-edge estimation accuracy is a primary evaluation metric, computed as per-pixel classification accuracy within a </w:t>
      </w:r>
      <w:r>
        <w:rPr>
          <w:i/>
        </w:rPr>
        <w:t xml:space="preserve">d</w:t>
      </w:r>
      <w:r>
        <w:rPr/>
        <w:t xml:space="preserve">-pixel thick band around the ground-truth water edge boundary[11]</w:t>
      </w:r>
    </w:p>
    <w:p>
      <w:pPr>
        <w:numPr>
          <w:ilvl w:val="0"/>
          <w:numId w:val="3"/>
        </w:numPr>
        <w:spacing w:lineRule="auto"/>
      </w:pPr>
      <w:r>
        <w:rPr>
          <w:b/>
        </w:rPr>
        <w:t xml:space="preserve">Handling reflections:</w:t>
      </w:r>
      <w:r>
        <w:rPr>
          <w:rFonts w:eastAsia="Georgia" w:cs="Georgia" w:ascii="Georgia" w:hAnsi="Georgia"/>
        </w:rPr>
        <w:t xml:space="preserve"> Reflections are tracked via global scene attributes. Methods show substantial performance drops on heavy reflections (~20–40% F1 decrease). River-like environments are more challenging due to calmer waters producing stronger reflections[12]</w:t>
      </w:r>
    </w:p>
    <w:p>
      <w:pPr>
        <w:numPr>
          <w:ilvl w:val="0"/>
          <w:numId w:val="3"/>
        </w:numPr>
        <w:spacing w:lineRule="auto"/>
      </w:pPr>
      <w:r>
        <w:rPr>
          <w:b/>
        </w:rPr>
        <w:t xml:space="preserve">Ignore class:</w:t>
      </w:r>
      <w:r>
        <w:rPr/>
        <w:t xml:space="preserve"> Regions that could not be reliably manually segmented are labeled with an </w:t>
      </w:r>
      <w:r>
        <w:rPr>
          <w:b/>
        </w:rPr>
        <w:t xml:space="preserve">ignore class</w:t>
      </w:r>
      <w:r>
        <w:rPr/>
        <w:t xml:space="preserve">. </w:t>
      </w:r>
      <w:r>
        <w:rPr>
          <w:b/>
        </w:rPr>
        <w:t xml:space="preserve">Group labels</w:t>
      </w:r>
      <w:r>
        <w:rPr/>
        <w:t xml:space="preserve"> are used for multiple hard-to-delineate neighboring instances of the same category[11]</w:t>
      </w:r>
    </w:p>
    <w:p>
      <w:pPr>
        <w:numPr>
          <w:ilvl w:val="0"/>
          <w:numId w:val="3"/>
        </w:numPr>
        <w:spacing w:lineRule="auto"/>
      </w:pPr>
      <w:r>
        <w:rPr>
          <w:b/>
        </w:rPr>
        <w:t xml:space="preserve">Annotation process:</w:t>
      </w:r>
      <w:r>
        <w:rPr>
          <w:rFonts w:eastAsia="Georgia" w:cs="Georgia" w:ascii="Georgia" w:hAnsi="Georgia"/>
        </w:rPr>
        <w:t xml:space="preserve"> Professionally annotated by a labeling company, followed by a two-pass quality control: (1) state-of-the-art models trained and run on the dataset to identify major errors (210 images corrected), (2) manual inspection of all ~3,600 dynamic obstacle instance labels[11]</w:t>
      </w:r>
    </w:p>
    <w:p>
      <w:pPr>
        <w:numPr>
          <w:ilvl w:val="0"/>
          <w:numId w:val="3"/>
        </w:numPr>
        <w:spacing w:lineRule="auto"/>
      </w:pPr>
      <w:r>
        <w:rPr>
          <w:b/>
        </w:rPr>
        <w:t xml:space="preserve">Scale:</w:t>
      </w:r>
      <w:r>
        <w:rPr/>
        <w:t xml:space="preserve"> 4,006 per-pixel labeled key frames with 9 preceding temporal context frames each (40k+ total), sourced from in-house recordings (33.8%), web videos (22.4%), and existing datasets including MaSTr1325 (33.0%)[9]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1_4_waterscenes_multi_task_4d_e127d9"/>
      <w:r>
        <w:rPr>
          <w:rFonts w:eastAsia="Georgia" w:cs="Georgia" w:ascii="Georgia" w:hAnsi="Georgia"/>
          <w:b/>
          <w:sz w:val="33"/>
        </w:rPr>
        <w:t xml:space="preserve">1.4 WaterScenes — Multi-Task 4D Radar-Camera Fusion Dataset</w:t>
      </w:r>
      <w:bookmarkEnd w:id="5"/>
    </w:p>
    <w:p>
      <w:pPr>
        <w:spacing w:after="210" w:lineRule="auto"/>
      </w:pPr>
      <w:r>
        <w:rPr>
          <w:b/>
        </w:rPr>
        <w:t xml:space="preserve">Paper:</w:t>
      </w:r>
      <w:r>
        <w:rPr/>
        <w:t xml:space="preserve"> Yao, S., Guan, R., Wu, Z., et al. "WaterScenes: A Multi-Task 4D Radar-Camera Fusion Dataset and Benchmarks for Autonomous Driving on Water Surfaces." </w:t>
      </w:r>
      <w:r>
        <w:rPr>
          <w:i/>
        </w:rPr>
        <w:t xml:space="preserve">IEEE Transactions on Intelligent Transportation Systems</w:t>
      </w:r>
      <w:r>
        <w:rPr/>
        <w:t xml:space="preserve">, 2024.[13]</w:t>
      </w:r>
    </w:p>
    <w:p>
      <w:pPr>
        <w:spacing w:after="210" w:lineRule="auto"/>
      </w:pPr>
      <w:r>
        <w:rPr>
          <w:b/>
        </w:rPr>
        <w:t xml:space="preserve">PDF:</w:t>
      </w:r>
      <w:r>
        <w:rPr/>
        <w:t xml:space="preserve"> </w:t>
      </w:r>
      <w:hyperlink r:id="rId11">
        <w:r>
          <w:rPr>
            <w:color w:val="4472C4"/>
          </w:rPr>
          <w:t xml:space="preserve">https://arxiv.org/abs/2307.06505[14]</w:t>
        </w:r>
      </w:hyperlink>
    </w:p>
    <w:p>
      <w:pPr>
        <w:spacing w:after="210" w:lineRule="auto"/>
      </w:pPr>
      <w:r>
        <w:rPr>
          <w:b/>
        </w:rPr>
        <w:t xml:space="preserve">Dataset page:</w:t>
      </w:r>
      <w:r>
        <w:rPr/>
        <w:t xml:space="preserve"> </w:t>
      </w:r>
      <w:hyperlink r:id="rId12">
        <w:r>
          <w:rPr>
            <w:color w:val="4472C4"/>
          </w:rPr>
          <w:t xml:space="preserve">https://waterscenes.github.io</w:t>
        </w:r>
      </w:hyperlink>
      <w:r>
        <w:rPr/>
        <w:t xml:space="preserve">[15]</w:t>
      </w:r>
    </w:p>
    <w:p>
      <w:pPr>
        <w:spacing w:after="210" w:lineRule="auto"/>
      </w:pPr>
      <w:r>
        <w:rPr>
          <w:b/>
        </w:rPr>
        <w:t xml:space="preserve">Annotation Methodology:</w:t>
      </w:r>
    </w:p>
    <w:p>
      <w:pPr>
        <w:numPr>
          <w:ilvl w:val="0"/>
          <w:numId w:val="4"/>
        </w:numPr>
        <w:spacing w:lineRule="auto"/>
      </w:pPr>
      <w:r>
        <w:rPr>
          <w:b/>
        </w:rPr>
        <w:t xml:space="preserve">Object classes (7):</w:t>
      </w:r>
      <w:r>
        <w:rPr>
          <w:rFonts w:eastAsia="Georgia" w:cs="Georgia" w:ascii="Georgia" w:hAnsi="Georgia"/>
        </w:rPr>
        <w:t xml:space="preserve"> Pier, buoy, sailor, ship, boat, vessel, kayak — covering both static and dynamic objects on water surfaces[16]</w:t>
      </w:r>
    </w:p>
    <w:p>
      <w:pPr>
        <w:numPr>
          <w:ilvl w:val="0"/>
          <w:numId w:val="4"/>
        </w:numPr>
        <w:spacing w:lineRule="auto"/>
      </w:pPr>
      <w:r>
        <w:rPr>
          <w:b/>
        </w:rPr>
        <w:t xml:space="preserve">Supported tasks (5):</w:t>
      </w:r>
      <w:r>
        <w:rPr/>
        <w:t xml:space="preserve"> Object detection (2D bounding boxes), instance segmentation (polygonal masks), semantic segmentation, </w:t>
      </w:r>
      <w:r>
        <w:rPr>
          <w:b/>
        </w:rPr>
        <w:t xml:space="preserve">free-space segmentation</w:t>
      </w:r>
      <w:r>
        <w:rPr/>
        <w:t xml:space="preserve"> (drivable area for USVs), and </w:t>
      </w:r>
      <w:r>
        <w:rPr>
          <w:b/>
        </w:rPr>
        <w:t xml:space="preserve">waterline segmentation</w:t>
      </w:r>
      <w:r>
        <w:rPr>
          <w:rFonts w:eastAsia="Georgia" w:cs="Georgia" w:ascii="Georgia" w:hAnsi="Georgia"/>
        </w:rPr>
        <w:t xml:space="preserve"> (water–land boundary lines)[17]</w:t>
      </w:r>
    </w:p>
    <w:p>
      <w:pPr>
        <w:numPr>
          <w:ilvl w:val="0"/>
          <w:numId w:val="4"/>
        </w:numPr>
        <w:spacing w:lineRule="auto"/>
      </w:pPr>
      <w:r>
        <w:rPr>
          <w:b/>
        </w:rPr>
        <w:t xml:space="preserve">Segmentation type:</w:t>
      </w:r>
      <w:r>
        <w:rPr>
          <w:rFonts w:eastAsia="Georgia" w:cs="Georgia" w:ascii="Georgia" w:hAnsi="Georgia"/>
        </w:rPr>
        <w:t xml:space="preserve"> Multi-task — supports both </w:t>
      </w:r>
      <w:r>
        <w:rPr>
          <w:i/>
        </w:rPr>
        <w:t xml:space="preserve">instance segmentation</w:t>
      </w:r>
      <w:r>
        <w:rPr/>
        <w:t xml:space="preserve"> and </w:t>
      </w:r>
      <w:r>
        <w:rPr>
          <w:i/>
        </w:rPr>
        <w:t xml:space="preserve">semantic segmentation</w:t>
      </w:r>
      <w:r>
        <w:rPr/>
        <w:t xml:space="preserve">, with additional free-space class and waterline annotations[16]</w:t>
      </w:r>
    </w:p>
    <w:p>
      <w:pPr>
        <w:numPr>
          <w:ilvl w:val="0"/>
          <w:numId w:val="4"/>
        </w:numPr>
        <w:spacing w:lineRule="auto"/>
      </w:pPr>
      <w:r>
        <w:rPr>
          <w:b/>
        </w:rPr>
        <w:t xml:space="preserve">Handling water edges:</w:t>
      </w:r>
      <w:r>
        <w:rPr/>
        <w:t xml:space="preserve"> Explicit </w:t>
      </w:r>
      <w:r>
        <w:rPr>
          <w:b/>
        </w:rPr>
        <w:t xml:space="preserve">waterline segmentation</w:t>
      </w:r>
      <w:r>
        <w:rPr/>
        <w:t xml:space="preserve"> task with dedicated annotations marking the boundary between water and land/structures[16]</w:t>
      </w:r>
    </w:p>
    <w:p>
      <w:pPr>
        <w:numPr>
          <w:ilvl w:val="0"/>
          <w:numId w:val="4"/>
        </w:numPr>
        <w:spacing w:lineRule="auto"/>
      </w:pPr>
      <w:r>
        <w:rPr>
          <w:b/>
        </w:rPr>
        <w:t xml:space="preserve">Scene attributes:</w:t>
      </w:r>
      <w:r>
        <w:rPr/>
        <w:t xml:space="preserve"> Each frame is annotated with metadata covering time conditions (daytime, nightfall, night), lighting conditions (normal, dim, strong), weather conditions (sunny, overcast, rainy, snowy), and waterway type (river, lake, canal, moat)[18]</w:t>
      </w:r>
    </w:p>
    <w:p>
      <w:pPr>
        <w:numPr>
          <w:ilvl w:val="0"/>
          <w:numId w:val="4"/>
        </w:numPr>
        <w:spacing w:lineRule="auto"/>
      </w:pPr>
      <w:r>
        <w:rPr>
          <w:b/>
        </w:rPr>
        <w:t xml:space="preserve">Multimodal fusion:</w:t>
      </w:r>
      <w:r>
        <w:rPr/>
        <w:t xml:space="preserve"> Camera images labeled at pixel-level; 4D radar point clouds labeled at point-level. This dual annotation supports all-weather perception, particularly useful in adverse lighting and weather where camera-only methods degrade[17]</w:t>
      </w:r>
    </w:p>
    <w:p>
      <w:pPr>
        <w:numPr>
          <w:ilvl w:val="0"/>
          <w:numId w:val="4"/>
        </w:numPr>
        <w:spacing w:lineRule="auto"/>
      </w:pPr>
      <w:r>
        <w:rPr>
          <w:b/>
        </w:rPr>
        <w:t xml:space="preserve">Scale:</w:t>
      </w:r>
      <w:r>
        <w:rPr/>
        <w:t xml:space="preserve"> 54,120 sets of RGB images and radar point clouds, covering over 200,000 objects, with GPS and IMU synchronization[18]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1_5_weakly_supervised_semi_aut_788176"/>
      <w:r>
        <w:rPr>
          <w:b/>
          <w:sz w:val="33"/>
        </w:rPr>
        <w:t xml:space="preserve">1.5 Weakly Supervised &amp; Semi-Automatic Maritime Annotation</w:t>
      </w:r>
      <w:bookmarkEnd w:id="6"/>
    </w:p>
    <w:p>
      <w:pPr>
        <w:spacing w:line="271" w:before="240" w:lineRule="auto"/>
      </w:pPr>
      <w:bookmarkStart w:id="7" w:name="scaffolding_learning_regime_for_w_85d737"/>
      <w:r>
        <w:rPr>
          <w:b/>
          <w:sz w:val="28"/>
        </w:rPr>
        <w:t xml:space="preserve">Scaffolding Learning Regime for Weak Maritime Annotation</w:t>
      </w:r>
      <w:bookmarkEnd w:id="7"/>
    </w:p>
    <w:p>
      <w:pPr>
        <w:spacing w:after="210" w:lineRule="auto"/>
      </w:pPr>
      <w:r>
        <w:rPr>
          <w:b/>
        </w:rPr>
        <w:t xml:space="preserve">Paper:</w:t>
      </w:r>
      <w:r>
        <w:rPr/>
        <w:t xml:space="preserve"> Bovcon, B. &amp; Kristan, M. "Learning with Weak Annotations for Robust Maritime Obstacle Detection." </w:t>
      </w:r>
      <w:r>
        <w:rPr>
          <w:i/>
        </w:rPr>
        <w:t xml:space="preserve">Sensors</w:t>
      </w:r>
      <w:r>
        <w:rPr/>
        <w:t xml:space="preserve">, vol. 22, no. 23, p. 9139, 2022.[19]</w:t>
      </w:r>
    </w:p>
    <w:p>
      <w:pPr>
        <w:spacing w:after="210" w:lineRule="auto"/>
      </w:pPr>
      <w:r>
        <w:rPr>
          <w:b/>
        </w:rPr>
        <w:t xml:space="preserve">PDF:</w:t>
      </w:r>
      <w:r>
        <w:rPr/>
        <w:t xml:space="preserve"> </w:t>
      </w:r>
      <w:hyperlink r:id="rId13">
        <w:r>
          <w:rPr>
            <w:color w:val="4472C4"/>
          </w:rPr>
          <w:t xml:space="preserve">https://www.mdpi.com/1424-8220/22/23/9139/pdf[20]</w:t>
        </w:r>
      </w:hyperlink>
    </w:p>
    <w:p>
      <w:pPr>
        <w:spacing w:after="210" w:lineRule="auto"/>
      </w:pPr>
      <w:r>
        <w:rPr/>
        <w:t xml:space="preserve">This paper proposes a </w:t>
      </w:r>
      <w:r>
        <w:rPr>
          <w:b/>
        </w:rPr>
        <w:t xml:space="preserve">scaffolding learning regime (SLR)</w:t>
      </w:r>
      <w:r>
        <w:rPr/>
        <w:t xml:space="preserve"> that trains segmentation networks using weak annotations instead of full per-pixel labels. The weak annotations consist of: (1) </w:t>
      </w:r>
      <w:r>
        <w:rPr>
          <w:b/>
        </w:rPr>
        <w:t xml:space="preserve">water edge</w:t>
      </w:r>
      <w:r>
        <w:rPr/>
        <w:t xml:space="preserve"> lines, (2) </w:t>
      </w:r>
      <w:r>
        <w:rPr>
          <w:b/>
        </w:rPr>
        <w:t xml:space="preserve">horizon location</w:t>
      </w:r>
      <w:r>
        <w:rPr/>
        <w:t xml:space="preserve">, and (3) </w:t>
      </w:r>
      <w:r>
        <w:rPr>
          <w:b/>
        </w:rPr>
        <w:t xml:space="preserve">obstacle bounding boxes</w:t>
      </w:r>
      <w:r>
        <w:rPr/>
        <w:t xml:space="preserve">. These are significantly cheaper to obtain than pixel-level masks. The method progressively "scaffolds" from weak to stronger pseudo-labels, achieving competitive performance with fully supervised approaches while reducing annotation cost by an order of magnitude.[20][19]</w:t>
      </w:r>
    </w:p>
    <w:p>
      <w:pPr>
        <w:spacing w:line="271" w:before="240" w:lineRule="auto"/>
      </w:pPr>
      <w:bookmarkStart w:id="8" w:name="semi_automatic_annotation_tool_fo_5a2f5e"/>
      <w:r>
        <w:rPr>
          <w:b/>
          <w:sz w:val="28"/>
        </w:rPr>
        <w:t xml:space="preserve">Semi-Automatic Annotation Tool for Marine Images</w:t>
      </w:r>
      <w:bookmarkEnd w:id="8"/>
    </w:p>
    <w:p>
      <w:pPr>
        <w:spacing w:after="210" w:lineRule="auto"/>
      </w:pPr>
      <w:r>
        <w:rPr>
          <w:b/>
        </w:rPr>
        <w:t xml:space="preserve">Thesis:</w:t>
      </w:r>
      <w:r>
        <w:rPr/>
        <w:t xml:space="preserve"> Phan, D. &amp; Rosenqvist, S. "Semi-Automatic Annotation and Gathering of Marine Images." </w:t>
      </w:r>
      <w:r>
        <w:rPr>
          <w:i/>
        </w:rPr>
        <w:t xml:space="preserve">Master's Thesis</w:t>
      </w:r>
      <w:r>
        <w:rPr/>
        <w:t xml:space="preserve">, Lund University, LU-CS-EX: 2021-27, 2021.[21]</w:t>
      </w:r>
    </w:p>
    <w:p>
      <w:pPr>
        <w:spacing w:after="210" w:lineRule="auto"/>
      </w:pPr>
      <w:r>
        <w:rPr>
          <w:b/>
        </w:rPr>
        <w:t xml:space="preserve">PDF:</w:t>
      </w:r>
      <w:r>
        <w:rPr/>
        <w:t xml:space="preserve"> </w:t>
      </w:r>
      <w:hyperlink r:id="rId14">
        <w:r>
          <w:rPr>
            <w:color w:val="4472C4"/>
          </w:rPr>
          <w:t xml:space="preserve">https://lup.lub.lu.se/student-papers/record/9064600/file/9064601.pdf</w:t>
        </w:r>
      </w:hyperlink>
    </w:p>
    <w:p>
      <w:pPr>
        <w:spacing w:after="210" w:lineRule="auto"/>
      </w:pPr>
      <w:r>
        <w:rPr/>
        <w:t xml:space="preserve">Developed in collaboration with </w:t>
      </w:r>
      <w:r>
        <w:rPr>
          <w:b/>
        </w:rPr>
        <w:t xml:space="preserve">Saab Kockums AB</w:t>
      </w:r>
      <w:r>
        <w:rPr>
          <w:rFonts w:eastAsia="Georgia" w:cs="Georgia" w:ascii="Georgia" w:hAnsi="Georgia"/>
        </w:rPr>
        <w:t xml:space="preserve">, this work proposes a semi-automatic annotation tool for maritime environments combining object detection (YOLOv4, Faster R-CNN) with object tracking (KCF, CSRT) to propagate annotations across video frames. The tool uses sea chart coordinate data to pre-filter regions of interest. Results show annotation time reduction from ~13s to ~0.56s per image on average while maintaining reasonable IoU (&gt;0.5), with a human-in-the-loop for uncertain cases.[21]</w:t>
      </w:r>
    </w:p>
    <w:p>
      <w:pPr>
        <w:spacing w:line="271" w:before="240" w:lineRule="auto"/>
      </w:pPr>
      <w:bookmarkStart w:id="9" w:name="re_annotation_of_maritime_trainin_4e00ad"/>
      <w:r>
        <w:rPr>
          <w:b/>
          <w:sz w:val="28"/>
        </w:rPr>
        <w:t xml:space="preserve">Re-Annotation of Maritime Training Samples</w:t>
      </w:r>
      <w:bookmarkEnd w:id="9"/>
    </w:p>
    <w:p>
      <w:pPr>
        <w:spacing w:after="210" w:lineRule="auto"/>
      </w:pPr>
      <w:r>
        <w:rPr>
          <w:b/>
        </w:rPr>
        <w:t xml:space="preserve">Paper:</w:t>
      </w:r>
      <w:r>
        <w:rPr/>
        <w:t xml:space="preserve"> "Re-Annotation of Training Samples for Robust Maritime Object Detection." </w:t>
      </w:r>
      <w:r>
        <w:rPr>
          <w:i/>
        </w:rPr>
        <w:t xml:space="preserve">DTU Orbit</w:t>
      </w:r>
      <w:r>
        <w:rPr/>
        <w:t xml:space="preserve">, 2022.[22]</w:t>
      </w:r>
    </w:p>
    <w:p>
      <w:pPr>
        <w:spacing w:after="210" w:lineRule="auto"/>
      </w:pPr>
      <w:r>
        <w:rPr/>
        <w:t xml:space="preserve">This work detects "poor" training samples in existing maritime datasets and automatically re-annotates them based on the current state of the object detector. When 25% of data is poorly annotated, the approach achieves a 5.5%, 13.7%, and 8.0% performance increase on three separate datasets.[22]</w:t>
      </w:r>
    </w:p>
    <w:p>
      <w:pPr>
        <w:spacing w:line="271" w:before="240" w:lineRule="auto"/>
      </w:pPr>
      <w:bookmarkStart w:id="10" w:name="caw_semi_supervised_maritime_segm_d297b6"/>
      <w:r>
        <w:rPr>
          <w:rFonts w:eastAsia="Georgia" w:cs="Georgia" w:ascii="Georgia" w:hAnsi="Georgia"/>
          <w:b/>
          <w:sz w:val="28"/>
        </w:rPr>
        <w:t xml:space="preserve">CAW — Semi-Supervised Maritime Segmentation Benchmark</w:t>
      </w:r>
      <w:bookmarkEnd w:id="10"/>
    </w:p>
    <w:p>
      <w:pPr>
        <w:spacing w:after="210" w:lineRule="auto"/>
      </w:pPr>
      <w:r>
        <w:rPr>
          <w:b/>
        </w:rPr>
        <w:t xml:space="preserve">Paper:</w:t>
      </w:r>
      <w:r>
        <w:rPr/>
        <w:t xml:space="preserve"> "CAW: A Realistic Benchmark for Semi-Supervised Semantic Segmentation in Maritime Computer Vision." </w:t>
      </w:r>
      <w:r>
        <w:rPr>
          <w:i/>
        </w:rPr>
        <w:t xml:space="preserve">IEEE</w:t>
      </w:r>
      <w:r>
        <w:rPr/>
        <w:t xml:space="preserve">, 2025.[23]</w:t>
      </w:r>
    </w:p>
    <w:p>
      <w:pPr>
        <w:spacing w:after="210" w:lineRule="auto"/>
      </w:pPr>
      <w:r>
        <w:rPr/>
        <w:t xml:space="preserve">Introduces the Collection Above Water (CAW) dataset targeting semi-supervised image segmentation in the maritime domain, using real-world video data to address common failure cases exacerbated by the unique properties of maritime scenes.[23]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2_usv_navigation_visibility_in_5869e1"/>
      <w:r>
        <w:rPr>
          <w:b/>
          <w:sz w:val="42"/>
        </w:rPr>
        <w:t xml:space="preserve">2. USV Navigation &amp; Visibility in Arctic/Northern Regions</w:t>
      </w:r>
      <w:bookmarkEnd w:id="11"/>
    </w:p>
    <w:p>
      <w:pPr>
        <w:spacing w:line="271" w:before="240" w:lineRule="auto"/>
      </w:pPr>
      <w:bookmarkStart w:id="12" w:name="bm_2_1_autonomous_navigation_in_i_60249e"/>
      <w:r>
        <w:rPr>
          <w:b/>
          <w:sz w:val="33"/>
        </w:rPr>
        <w:t xml:space="preserve">2.1 Autonomous Navigation in Ice-Covered Waters</w:t>
      </w:r>
      <w:bookmarkEnd w:id="12"/>
    </w:p>
    <w:p>
      <w:pPr>
        <w:spacing w:line="271" w:before="240" w:lineRule="auto"/>
      </w:pPr>
      <w:bookmarkStart w:id="13" w:name="auto_icenav_navigation_in_broken_2d79c6"/>
      <w:r>
        <w:rPr>
          <w:b/>
          <w:sz w:val="28"/>
        </w:rPr>
        <w:t xml:space="preserve">AUTO-IceNav: Navigation in Broken Ice Fields</w:t>
      </w:r>
      <w:bookmarkEnd w:id="13"/>
    </w:p>
    <w:p>
      <w:pPr>
        <w:spacing w:after="210" w:lineRule="auto"/>
      </w:pPr>
      <w:r>
        <w:rPr>
          <w:b/>
        </w:rPr>
        <w:t xml:space="preserve">Paper:</w:t>
      </w:r>
      <w:r>
        <w:rPr/>
        <w:t xml:space="preserve"> Zhong, N., Potenza, A., &amp; Smith, S.L. "AUTO-IceNav: A Local Navigation Strategy for Autonomous Surface Ships in Broken Ice Fields." </w:t>
      </w:r>
      <w:r>
        <w:rPr>
          <w:i/>
        </w:rPr>
        <w:t xml:space="preserve">IEEE</w:t>
      </w:r>
      <w:r>
        <w:rPr/>
        <w:t xml:space="preserve">, 2024.[24]</w:t>
      </w:r>
    </w:p>
    <w:p>
      <w:pPr>
        <w:spacing w:after="210" w:lineRule="auto"/>
      </w:pPr>
      <w:r>
        <w:rPr>
          <w:b/>
        </w:rPr>
        <w:t xml:space="preserve">PDF:</w:t>
      </w:r>
      <w:r>
        <w:rPr/>
        <w:t xml:space="preserve"> </w:t>
      </w:r>
      <w:hyperlink r:id="rId15">
        <w:r>
          <w:rPr>
            <w:color w:val="4472C4"/>
          </w:rPr>
          <w:t xml:space="preserve">https://arxiv.org/abs/2411.17155[25]</w:t>
        </w:r>
      </w:hyperlink>
    </w:p>
    <w:p>
      <w:pPr>
        <w:spacing w:after="210" w:lineRule="auto"/>
      </w:pPr>
      <w:r>
        <w:rPr>
          <w:rFonts w:eastAsia="Georgia" w:cs="Georgia" w:ascii="Georgia" w:hAnsi="Georgia"/>
        </w:rPr>
        <w:t xml:space="preserve">Presents a framework for autonomous navigation in ice floe fields using receding-horizon trajectory planning. A novel cost function minimizes kinetic energy loss from ship–ice collisions, incorporated into a lattice-based path planner. The approach uses a </w:t>
      </w:r>
      <w:r>
        <w:rPr>
          <w:b/>
        </w:rPr>
        <w:t xml:space="preserve">deep learning model to estimate coarse dynamics of ice movements</w:t>
      </w:r>
      <w:r>
        <w:rPr/>
        <w:t xml:space="preserve"> triggered by ship actions through occupancy estimation. Validated in both simulation and physical testbed experiments.[26][24]</w:t>
      </w:r>
    </w:p>
    <w:p>
      <w:pPr>
        <w:spacing w:line="271" w:before="240" w:lineRule="auto"/>
      </w:pPr>
      <w:bookmarkStart w:id="14" w:name="navigation_with_learned_ship_ice_4c37c1"/>
      <w:r>
        <w:rPr>
          <w:b/>
          <w:sz w:val="28"/>
        </w:rPr>
        <w:t xml:space="preserve">Navigation with Learned Ship-Ice Interactions</w:t>
      </w:r>
      <w:bookmarkEnd w:id="14"/>
    </w:p>
    <w:p>
      <w:pPr>
        <w:spacing w:after="210" w:lineRule="auto"/>
      </w:pPr>
      <w:r>
        <w:rPr>
          <w:b/>
        </w:rPr>
        <w:t xml:space="preserve">Paper:</w:t>
      </w:r>
      <w:r>
        <w:rPr/>
        <w:t xml:space="preserve"> Zhong, N., Potenza, A., &amp; Smith, S.L. "Autonomous Navigation in Ice-Covered Waters with Learned Predictions on Ship-Ice Interactions." </w:t>
      </w:r>
      <w:r>
        <w:rPr>
          <w:i/>
        </w:rPr>
        <w:t xml:space="preserve">arXiv:2409.11326</w:t>
      </w:r>
      <w:r>
        <w:rPr/>
        <w:t xml:space="preserve">, 2024.[26]</w:t>
      </w:r>
    </w:p>
    <w:p>
      <w:pPr>
        <w:spacing w:after="210" w:lineRule="auto"/>
      </w:pPr>
      <w:r>
        <w:rPr/>
        <w:t xml:space="preserve">Focuses on the challenge that collision-free trajectories are frequently infeasible in ice-covered waters, necessitating strategies that minimize rather than avoid collisions. Proposes caching intermediate prediction results for real-time applicability.[27]</w:t>
      </w:r>
    </w:p>
    <w:p>
      <w:pPr>
        <w:spacing w:line="271" w:before="240" w:lineRule="auto"/>
      </w:pPr>
      <w:bookmarkStart w:id="15" w:name="al_prototype_usv_for_ice_navigation"/>
      <w:r>
        <w:rPr>
          <w:rFonts w:eastAsia="Georgia" w:cs="Georgia" w:ascii="Georgia" w:hAnsi="Georgia"/>
          <w:b/>
          <w:sz w:val="28"/>
        </w:rPr>
        <w:t xml:space="preserve">AL — Prototype USV for Ice Navigation</w:t>
      </w:r>
      <w:bookmarkEnd w:id="15"/>
    </w:p>
    <w:p>
      <w:pPr>
        <w:spacing w:after="210" w:lineRule="auto"/>
      </w:pPr>
      <w:r>
        <w:rPr>
          <w:b/>
        </w:rPr>
        <w:t xml:space="preserve">Paper:</w:t>
      </w:r>
      <w:r>
        <w:rPr>
          <w:rFonts w:eastAsia="Georgia" w:cs="Georgia" w:ascii="Georgia" w:hAnsi="Georgia"/>
        </w:rPr>
        <w:t xml:space="preserve"> "AL – A Prototype Autonomous Ship Model for Navigating in Ice Conditions." </w:t>
      </w:r>
      <w:r>
        <w:rPr>
          <w:i/>
        </w:rPr>
        <w:t xml:space="preserve">Proceedings of the ASME 2024 OMAE Conference</w:t>
      </w:r>
      <w:r>
        <w:rPr/>
        <w:t xml:space="preserve">, 2024.[28]</w:t>
      </w:r>
    </w:p>
    <w:p>
      <w:pPr>
        <w:spacing w:after="210" w:lineRule="auto"/>
      </w:pPr>
      <w:r>
        <w:rPr/>
        <w:t xml:space="preserve">Introduces a scaled-down USV prototype "AL" designed specifically for ice-covered waters. Uses 3D-printed icebreaking hull, ROS 2 environment, and state-of-the-art positioning algorithms. The model can autonomously follow predefined waypoints while maintaining desired speed in ice channels.[28]</w:t>
      </w:r>
    </w:p>
    <w:p>
      <w:pPr>
        <w:spacing w:line="271" w:before="240" w:lineRule="auto"/>
      </w:pPr>
      <w:bookmarkStart w:id="16" w:name="ship_navigation_in_dynamic_sea_ic_550598"/>
      <w:r>
        <w:rPr>
          <w:b/>
          <w:sz w:val="28"/>
        </w:rPr>
        <w:t xml:space="preserve">Ship Navigation in Dynamic Sea Ice (Satellite-Guided)</w:t>
      </w:r>
      <w:bookmarkEnd w:id="16"/>
    </w:p>
    <w:p>
      <w:pPr>
        <w:spacing w:after="210" w:lineRule="auto"/>
      </w:pPr>
      <w:r>
        <w:rPr>
          <w:b/>
        </w:rPr>
        <w:t xml:space="preserve">Paper:</w:t>
      </w:r>
      <w:r>
        <w:rPr/>
        <w:t xml:space="preserve"> "Research on ship navigation strategy in dynamic sea ice environments based on flexibility velocity obstacles algorithm." </w:t>
      </w:r>
      <w:r>
        <w:rPr>
          <w:i/>
        </w:rPr>
        <w:t xml:space="preserve">Ocean Engineering</w:t>
      </w:r>
      <w:r>
        <w:rPr/>
        <w:t xml:space="preserve">, 2024.[29]</w:t>
      </w:r>
    </w:p>
    <w:p>
      <w:pPr>
        <w:spacing w:after="210" w:lineRule="auto"/>
      </w:pPr>
      <w:r>
        <w:rPr/>
        <w:t xml:space="preserve">Leverages </w:t>
      </w:r>
      <w:r>
        <w:rPr>
          <w:b/>
        </w:rPr>
        <w:t xml:space="preserve">satellite imagery</w:t>
      </w:r>
      <w:r>
        <w:rPr/>
        <w:t xml:space="preserve"> and refined sea ice target matching to create a dynamic navigation environment in ice-laden areas. Introduces a sea ice collision risk index (ICRI) and a flexible velocity obstacle (FVO) algorithm specifically tailored for Arctic navigation.[29]</w:t>
      </w:r>
    </w:p>
    <w:p>
      <w:pPr>
        <w:spacing w:line="271" w:before="240" w:lineRule="auto"/>
      </w:pPr>
      <w:bookmarkStart w:id="17" w:name="bm_2_2_usv_operations_in_arctic_e_eb10ba"/>
      <w:r>
        <w:rPr>
          <w:b/>
          <w:sz w:val="33"/>
        </w:rPr>
        <w:t xml:space="preserve">2.2 USV Operations in Arctic Environments</w:t>
      </w:r>
      <w:bookmarkEnd w:id="17"/>
    </w:p>
    <w:p>
      <w:pPr>
        <w:spacing w:line="271" w:before="240" w:lineRule="auto"/>
      </w:pPr>
      <w:bookmarkStart w:id="18" w:name="saildrone_usvs_in_the_pacific_arc_dbee29"/>
      <w:r>
        <w:rPr>
          <w:b/>
          <w:sz w:val="28"/>
        </w:rPr>
        <w:t xml:space="preserve">Saildrone USVs in the Pacific Arctic Seasonal Ice Zone</w:t>
      </w:r>
      <w:bookmarkEnd w:id="18"/>
    </w:p>
    <w:p>
      <w:pPr>
        <w:spacing w:after="210" w:lineRule="auto"/>
      </w:pPr>
      <w:r>
        <w:rPr>
          <w:b/>
        </w:rPr>
        <w:t xml:space="preserve">Paper:</w:t>
      </w:r>
      <w:r>
        <w:rPr/>
        <w:t xml:space="preserve"> Chiodi, A.M. et al. "Exploring the Pacific Arctic Seasonal Ice Zone With Saildrone USVs." </w:t>
      </w:r>
      <w:r>
        <w:rPr>
          <w:i/>
        </w:rPr>
        <w:t xml:space="preserve">Frontiers in Marine Science</w:t>
      </w:r>
      <w:r>
        <w:rPr/>
        <w:t xml:space="preserve">, vol. 8, 2021.[30]</w:t>
      </w:r>
    </w:p>
    <w:p>
      <w:pPr>
        <w:spacing w:after="210" w:lineRule="auto"/>
      </w:pPr>
      <w:r>
        <w:rPr>
          <w:b/>
        </w:rPr>
        <w:t xml:space="preserve">PDF:</w:t>
      </w:r>
      <w:r>
        <w:rPr/>
        <w:t xml:space="preserve"> </w:t>
      </w:r>
      <w:hyperlink r:id="rId16">
        <w:r>
          <w:rPr>
            <w:color w:val="4472C4"/>
          </w:rPr>
          <w:t xml:space="preserve">https://www.frontiersin.org/articles/10.3389/fmars.2021.640697/pdf[31]</w:t>
        </w:r>
      </w:hyperlink>
    </w:p>
    <w:p>
      <w:pPr>
        <w:spacing w:after="210" w:lineRule="auto"/>
      </w:pPr>
      <w:r>
        <w:rPr/>
        <w:t xml:space="preserve">Five wind-driven and solar-powered </w:t>
      </w:r>
      <w:r>
        <w:rPr>
          <w:b/>
        </w:rPr>
        <w:t xml:space="preserve">saildrone USVs</w:t>
      </w:r>
      <w:r>
        <w:rPr/>
        <w:t xml:space="preserve"> were deployed in the Chukchi and Beaufort Seas. Key findings for visual perception challenges:</w:t>
      </w:r>
    </w:p>
    <w:p>
      <w:pPr>
        <w:numPr>
          <w:ilvl w:val="0"/>
          <w:numId w:val="5"/>
        </w:numPr>
        <w:spacing w:lineRule="auto"/>
      </w:pPr>
      <w:r>
        <w:rPr/>
        <w:t xml:space="preserve">Satellite-based ice-concentration analyses showed </w:t>
      </w:r>
      <w:r>
        <w:rPr>
          <w:b/>
        </w:rPr>
        <w:t xml:space="preserve">disagreements of up to ~175 km</w:t>
      </w:r>
      <w:r>
        <w:rPr/>
        <w:t xml:space="preserve"> during fastest ice retreat periods</w:t>
      </w:r>
    </w:p>
    <w:p>
      <w:pPr>
        <w:numPr>
          <w:ilvl w:val="0"/>
          <w:numId w:val="5"/>
        </w:numPr>
        <w:spacing w:lineRule="auto"/>
      </w:pPr>
      <w:r>
        <w:rPr/>
        <w:t xml:space="preserve">In situ temperature/salinity alone are unreliable ice-edge indicators</w:t>
      </w:r>
    </w:p>
    <w:p>
      <w:pPr>
        <w:numPr>
          <w:ilvl w:val="0"/>
          <w:numId w:val="5"/>
        </w:numPr>
        <w:spacing w:lineRule="auto"/>
      </w:pPr>
      <w:r>
        <w:rPr/>
        <w:t xml:space="preserve">Automated </w:t>
      </w:r>
      <w:r>
        <w:rPr>
          <w:b/>
        </w:rPr>
        <w:t xml:space="preserve">camera-based ice detection</w:t>
      </w:r>
      <w:r>
        <w:rPr/>
        <w:t xml:space="preserve"> is proposed as a feasible and useful next step[32][30]</w:t>
      </w:r>
    </w:p>
    <w:p>
      <w:pPr>
        <w:spacing w:line="271" w:before="240" w:lineRule="auto"/>
      </w:pPr>
      <w:bookmarkStart w:id="19" w:name="radar_requirements_for_arctic_aut_b8bc05"/>
      <w:r>
        <w:rPr>
          <w:b/>
          <w:sz w:val="28"/>
        </w:rPr>
        <w:t xml:space="preserve">Radar Requirements for Arctic Autonomous Navigation</w:t>
      </w:r>
      <w:bookmarkEnd w:id="19"/>
    </w:p>
    <w:p>
      <w:pPr>
        <w:spacing w:after="210" w:lineRule="auto"/>
      </w:pPr>
      <w:r>
        <w:rPr>
          <w:b/>
        </w:rPr>
        <w:t xml:space="preserve">Paper:</w:t>
      </w:r>
      <w:r>
        <w:rPr/>
        <w:t xml:space="preserve"> "Requirements for radar navigation aids for operational safety of autonomous navigation of facilities of the Arctic oil and gas complex." </w:t>
      </w:r>
      <w:r>
        <w:rPr>
          <w:i/>
        </w:rPr>
        <w:t xml:space="preserve">IOP Conference Series: Materials Science and Engineering</w:t>
      </w:r>
      <w:r>
        <w:rPr/>
        <w:t xml:space="preserve">, vol. 1201, 2021.[33]</w:t>
      </w:r>
    </w:p>
    <w:p>
      <w:pPr>
        <w:spacing w:after="210" w:lineRule="auto"/>
      </w:pPr>
      <w:r>
        <w:rPr/>
        <w:t xml:space="preserve">Analyzes requirements for radar systems for autonomous sea vessels in Arctic regions. Proposes ultra-wideband and ultra-short-pulse radars based on microwave photonics principles to provide radio-imaging mode with decimetre-level accuracy, including observation of small objects, </w:t>
      </w:r>
      <w:r>
        <w:rPr>
          <w:b/>
        </w:rPr>
        <w:t xml:space="preserve">ice conditions</w:t>
      </w:r>
      <w:r>
        <w:rPr/>
        <w:t xml:space="preserve">, and oil spill detection.[33]</w:t>
      </w:r>
    </w:p>
    <w:p>
      <w:pPr>
        <w:spacing w:line="271" w:before="240" w:lineRule="auto"/>
      </w:pPr>
      <w:bookmarkStart w:id="20" w:name="auvs_in_arctic_marine_operations"/>
      <w:r>
        <w:rPr>
          <w:b/>
          <w:sz w:val="28"/>
        </w:rPr>
        <w:t xml:space="preserve">AUVs in Arctic Marine Operations</w:t>
      </w:r>
      <w:bookmarkEnd w:id="20"/>
    </w:p>
    <w:p>
      <w:pPr>
        <w:spacing w:after="210" w:lineRule="auto"/>
      </w:pPr>
      <w:r>
        <w:rPr>
          <w:b/>
        </w:rPr>
        <w:t xml:space="preserve">Thesis:</w:t>
      </w:r>
      <w:r>
        <w:rPr/>
        <w:t xml:space="preserve"> "Autonomous underwater vehicles in Arctic marine operations: Arctic marine research and ice monitoring." </w:t>
      </w:r>
      <w:r>
        <w:rPr>
          <w:i/>
        </w:rPr>
        <w:t xml:space="preserve">NTNU Doctoral Thesis</w:t>
      </w:r>
      <w:r>
        <w:rPr/>
        <w:t xml:space="preserve">, 2018.[34]</w:t>
      </w:r>
    </w:p>
    <w:p>
      <w:pPr>
        <w:spacing w:after="210" w:lineRule="auto"/>
      </w:pPr>
      <w:r>
        <w:rPr/>
        <w:t xml:space="preserve">Addresses challenges of Arctic operations including drifting sea-ice, navigational challenges in polar regions, communication limitations, and deployment/recovery difficulties. Proposes iceberg mapping using SLAM algorithms and guidance systems for edge detection.[34]</w:t>
      </w:r>
    </w:p>
    <w:p>
      <w:pPr>
        <w:spacing w:line="271" w:before="240" w:lineRule="auto"/>
      </w:pPr>
      <w:bookmarkStart w:id="21" w:name="vehicle_autonomy_under_arctic_ice_mit"/>
      <w:r>
        <w:rPr>
          <w:b/>
          <w:sz w:val="28"/>
        </w:rPr>
        <w:t xml:space="preserve">Vehicle Autonomy Under Arctic Ice (MIT)</w:t>
      </w:r>
      <w:bookmarkEnd w:id="21"/>
    </w:p>
    <w:p>
      <w:pPr>
        <w:spacing w:after="210" w:lineRule="auto"/>
      </w:pPr>
      <w:r>
        <w:rPr>
          <w:b/>
        </w:rPr>
        <w:t xml:space="preserve">Dissertation:</w:t>
      </w:r>
      <w:r>
        <w:rPr/>
        <w:t xml:space="preserve"> Viquez R., O.A. "Vehicle autonomy under the Arctic ice: environmental adaptation through model-aided machine learning." </w:t>
      </w:r>
      <w:r>
        <w:rPr>
          <w:i/>
        </w:rPr>
        <w:t xml:space="preserve">MIT Doctoral Thesis</w:t>
      </w:r>
      <w:r>
        <w:rPr/>
        <w:t xml:space="preserve">, 2022.[35]</w:t>
      </w:r>
    </w:p>
    <w:p>
      <w:pPr>
        <w:spacing w:after="210" w:lineRule="auto"/>
      </w:pPr>
      <w:r>
        <w:rPr/>
        <w:t xml:space="preserve">Demonstrates physics-based machine learning for environmental adaptation in unmanned vehicle autonomy under Arctic ice. Validated against data from the Beaufort Sea (March 2020) where the Beaufort Lens and surface ice create challenging acoustic positioning conditions.[35]</w:t>
      </w:r>
    </w:p>
    <w:p>
      <w:pPr>
        <w:spacing w:line="271" w:before="240" w:lineRule="auto"/>
      </w:pPr>
      <w:bookmarkStart w:id="22" w:name="bm_2_3_visual_characteristics_of_90e427"/>
      <w:r>
        <w:rPr>
          <w:b/>
          <w:sz w:val="33"/>
        </w:rPr>
        <w:t xml:space="preserve">2.3 Visual Characteristics of Arctic/Northern Environments</w:t>
      </w:r>
      <w:bookmarkEnd w:id="22"/>
    </w:p>
    <w:p>
      <w:pPr>
        <w:spacing w:line="271" w:before="240" w:lineRule="auto"/>
      </w:pPr>
      <w:bookmarkStart w:id="23" w:name="general_arctic_maritime_challenges"/>
      <w:r>
        <w:rPr>
          <w:b/>
          <w:sz w:val="28"/>
        </w:rPr>
        <w:t xml:space="preserve">General Arctic Maritime Challenges</w:t>
      </w:r>
      <w:bookmarkEnd w:id="23"/>
    </w:p>
    <w:p>
      <w:pPr>
        <w:spacing w:after="210" w:lineRule="auto"/>
      </w:pPr>
      <w:r>
        <w:rPr/>
        <w:t xml:space="preserve">Arctic maritime environments pose the following visual perception challenges:[36]</w:t>
      </w:r>
    </w:p>
    <w:p>
      <w:pPr>
        <w:numPr>
          <w:ilvl w:val="0"/>
          <w:numId w:val="6"/>
        </w:numPr>
        <w:spacing w:lineRule="auto"/>
      </w:pPr>
      <w:r>
        <w:rPr>
          <w:b/>
        </w:rPr>
        <w:t xml:space="preserve">Intense cold</w:t>
      </w:r>
      <w:r>
        <w:rPr>
          <w:rFonts w:eastAsia="Georgia" w:cs="Georgia" w:ascii="Georgia" w:hAnsi="Georgia"/>
        </w:rPr>
        <w:t xml:space="preserve"> (down to -40°C) can impair camera and sensor functionality</w:t>
      </w:r>
    </w:p>
    <w:p>
      <w:pPr>
        <w:numPr>
          <w:ilvl w:val="0"/>
          <w:numId w:val="6"/>
        </w:numPr>
        <w:spacing w:lineRule="auto"/>
      </w:pPr>
      <w:r>
        <w:rPr>
          <w:b/>
        </w:rPr>
        <w:t xml:space="preserve">Multiyear ice</w:t>
      </w:r>
      <w:r>
        <w:rPr/>
        <w:t xml:space="preserve"> exceeding 3 meters thick, with unpredictable ice floe drift into sea lanes</w:t>
      </w:r>
    </w:p>
    <w:p>
      <w:pPr>
        <w:numPr>
          <w:ilvl w:val="0"/>
          <w:numId w:val="6"/>
        </w:numPr>
        <w:spacing w:lineRule="auto"/>
      </w:pPr>
      <w:r>
        <w:rPr>
          <w:b/>
        </w:rPr>
        <w:t xml:space="preserve">Heavy fog</w:t>
      </w:r>
      <w:r>
        <w:rPr/>
        <w:t xml:space="preserve"> common in summer months, severely reducing visibility</w:t>
      </w:r>
    </w:p>
    <w:p>
      <w:pPr>
        <w:numPr>
          <w:ilvl w:val="0"/>
          <w:numId w:val="6"/>
        </w:numPr>
        <w:spacing w:lineRule="auto"/>
      </w:pPr>
      <w:r>
        <w:rPr>
          <w:b/>
        </w:rPr>
        <w:t xml:space="preserve">Severe storms</w:t>
      </w:r>
      <w:r>
        <w:rPr/>
        <w:t xml:space="preserve"> complicating transit with waves and precipitation</w:t>
      </w:r>
    </w:p>
    <w:p>
      <w:pPr>
        <w:numPr>
          <w:ilvl w:val="0"/>
          <w:numId w:val="6"/>
        </w:numPr>
        <w:spacing w:lineRule="auto"/>
      </w:pPr>
      <w:r>
        <w:rPr>
          <w:b/>
        </w:rPr>
        <w:t xml:space="preserve">Low sun angles</w:t>
      </w:r>
      <w:r>
        <w:rPr/>
        <w:t xml:space="preserve"> producing extreme glare and specular reflections on water/ice surfaces</w:t>
      </w:r>
    </w:p>
    <w:p>
      <w:pPr>
        <w:numPr>
          <w:ilvl w:val="0"/>
          <w:numId w:val="6"/>
        </w:numPr>
        <w:spacing w:lineRule="auto"/>
      </w:pPr>
      <w:r>
        <w:rPr/>
        <w:t xml:space="preserve">Weather conditions expected to become </w:t>
      </w:r>
      <w:r>
        <w:rPr>
          <w:b/>
        </w:rPr>
        <w:t xml:space="preserve">more unpredictable</w:t>
      </w:r>
      <w:r>
        <w:rPr/>
        <w:t xml:space="preserve"> as ice diminishes</w:t>
      </w:r>
    </w:p>
    <w:p>
      <w:pPr>
        <w:spacing w:line="271" w:before="240" w:lineRule="auto"/>
      </w:pPr>
      <w:bookmarkStart w:id="24" w:name="shipborne_sea_ice_field_analysis_3a026a"/>
      <w:r>
        <w:rPr>
          <w:b/>
          <w:sz w:val="28"/>
        </w:rPr>
        <w:t xml:space="preserve">Shipborne Sea-Ice Field Analysis with Machine Vision</w:t>
      </w:r>
      <w:bookmarkEnd w:id="24"/>
    </w:p>
    <w:p>
      <w:pPr>
        <w:spacing w:after="210" w:lineRule="auto"/>
      </w:pPr>
      <w:r>
        <w:rPr>
          <w:b/>
        </w:rPr>
        <w:t xml:space="preserve">Paper:</w:t>
      </w:r>
      <w:r>
        <w:rPr/>
        <w:t xml:space="preserve"> Sandru, A. et al. "A Complete Process for Shipborne Sea-Ice Field Analysis Using Machine Vision." </w:t>
      </w:r>
      <w:r>
        <w:rPr>
          <w:i/>
        </w:rPr>
        <w:t xml:space="preserve">IFAC-PapersOnLine</w:t>
      </w:r>
      <w:r>
        <w:rPr/>
        <w:t xml:space="preserve">, vol. 53, no. 2, 2020.[37]</w:t>
      </w:r>
    </w:p>
    <w:p>
      <w:pPr>
        <w:spacing w:after="210" w:lineRule="auto"/>
      </w:pPr>
      <w:r>
        <w:rPr/>
        <w:t xml:space="preserve">Proposes an automated system using ship-mounted machine vision cameras with IMU and GPS for sea-ice floe detection and analysis. Key findings:</w:t>
      </w:r>
    </w:p>
    <w:p>
      <w:pPr>
        <w:numPr>
          <w:ilvl w:val="0"/>
          <w:numId w:val="7"/>
        </w:numPr>
        <w:spacing w:lineRule="auto"/>
      </w:pPr>
      <w:r>
        <w:rPr>
          <w:b/>
        </w:rPr>
        <w:t xml:space="preserve">Blue colour channel</w:t>
      </w:r>
      <w:r>
        <w:rPr/>
        <w:t xml:space="preserve"> from RGB cameras provides highest contrast between ice/snow, slush, and open water</w:t>
      </w:r>
    </w:p>
    <w:p>
      <w:pPr>
        <w:numPr>
          <w:ilvl w:val="0"/>
          <w:numId w:val="7"/>
        </w:numPr>
        <w:spacing w:lineRule="auto"/>
      </w:pPr>
      <w:r>
        <w:rPr/>
        <w:t xml:space="preserve">Uses enhanced k-means clustering for floe segmentation</w:t>
      </w:r>
    </w:p>
    <w:p>
      <w:pPr>
        <w:numPr>
          <w:ilvl w:val="0"/>
          <w:numId w:val="7"/>
        </w:numPr>
        <w:spacing w:lineRule="auto"/>
      </w:pPr>
      <w:r>
        <w:rPr/>
        <w:t xml:space="preserve">Requires pre-processing: sensor calibration, distortion removal, orthorectification</w:t>
      </w:r>
    </w:p>
    <w:p>
      <w:pPr>
        <w:numPr>
          <w:ilvl w:val="0"/>
          <w:numId w:val="7"/>
        </w:numPr>
        <w:spacing w:lineRule="auto"/>
      </w:pPr>
      <w:r>
        <w:rPr/>
        <w:t xml:space="preserve">Challenge: over-segmentation of ice floes; low sun angle creates shadow-based artifacts[37]</w:t>
      </w:r>
    </w:p>
    <w:p>
      <w:pPr>
        <w:spacing w:after="210" w:lineRule="auto"/>
      </w:pPr>
      <w:r>
        <w:rPr>
          <w:b/>
        </w:rPr>
        <w:t xml:space="preserve">Extended thesis:</w:t>
      </w:r>
      <w:r>
        <w:rPr/>
        <w:t xml:space="preserve"> Sandru, A. "Sea-ice field analysis in polar regions for smart ships." </w:t>
      </w:r>
      <w:r>
        <w:rPr>
          <w:i/>
        </w:rPr>
        <w:t xml:space="preserve">Aalto University</w:t>
      </w:r>
      <w:r>
        <w:rPr/>
        <w:t xml:space="preserve">, 2025.[38]</w:t>
      </w:r>
    </w:p>
    <w:p>
      <w:pPr>
        <w:spacing w:after="210" w:lineRule="auto"/>
      </w:pPr>
      <w:r>
        <w:rPr/>
        <w:t xml:space="preserve">Develops methods for automatic horizon line detection using machine vision cameras for sea-ice analysis.[38]</w:t>
      </w:r>
    </w:p>
    <w:p>
      <w:pPr>
        <w:spacing w:line="271" w:before="240" w:lineRule="auto"/>
      </w:pPr>
      <w:bookmarkStart w:id="25" w:name="vision_based_usv_navigation_in_ex_d45777"/>
      <w:r>
        <w:rPr>
          <w:b/>
          <w:sz w:val="28"/>
        </w:rPr>
        <w:t xml:space="preserve">Vision-Based USV Navigation in Extreme Conditions</w:t>
      </w:r>
      <w:bookmarkEnd w:id="25"/>
    </w:p>
    <w:p>
      <w:pPr>
        <w:spacing w:after="210" w:lineRule="auto"/>
      </w:pPr>
      <w:r>
        <w:rPr>
          <w:b/>
        </w:rPr>
        <w:t xml:space="preserve">Paper:</w:t>
      </w:r>
      <w:r>
        <w:rPr/>
        <w:t xml:space="preserve"> "Vision-Based Autonomous Navigation for Unmanned Surface Vessel in Extreme Marine Conditions." </w:t>
      </w:r>
      <w:r>
        <w:rPr>
          <w:i/>
        </w:rPr>
        <w:t xml:space="preserve">IEEE</w:t>
      </w:r>
      <w:r>
        <w:rPr/>
        <w:t xml:space="preserve">, 2023.[39]</w:t>
      </w:r>
    </w:p>
    <w:p>
      <w:pPr>
        <w:spacing w:after="210" w:lineRule="auto"/>
      </w:pPr>
      <w:r>
        <w:rPr/>
        <w:t xml:space="preserve">Addresses reduced visibility under extreme weather (sandstorms, fog) using a GAN-based perception pipeline for noise removal and feature enhancement before object detection (YOLOv5). Demonstrates that standard vision-based approaches fail under severely reduced visibility, requiring dedicated image restoration pre-processing.[39]</w:t>
      </w:r>
    </w:p>
    <w:p>
      <w:pPr>
        <w:spacing w:line="271" w:before="240" w:lineRule="auto"/>
      </w:pPr>
      <w:bookmarkStart w:id="26" w:name="situational_awareness_in_the_arct_222447"/>
      <w:r>
        <w:rPr>
          <w:b/>
          <w:sz w:val="28"/>
        </w:rPr>
        <w:t xml:space="preserve">Situational Awareness in the Arctic Ocean</w:t>
      </w:r>
      <w:bookmarkEnd w:id="26"/>
    </w:p>
    <w:p>
      <w:pPr>
        <w:spacing w:after="210" w:lineRule="auto"/>
      </w:pPr>
      <w:r>
        <w:rPr>
          <w:b/>
        </w:rPr>
        <w:t xml:space="preserve">Paper:</w:t>
      </w:r>
      <w:r>
        <w:rPr/>
        <w:t xml:space="preserve"> "Improving Situational Awareness in the Arctic Ocean." </w:t>
      </w:r>
      <w:r>
        <w:rPr>
          <w:i/>
        </w:rPr>
        <w:t xml:space="preserve">Frontiers in Marine Science</w:t>
      </w:r>
      <w:r>
        <w:rPr/>
        <w:t xml:space="preserve">, 2020.[40]</w:t>
      </w:r>
    </w:p>
    <w:p>
      <w:pPr>
        <w:spacing w:after="210" w:lineRule="auto"/>
      </w:pPr>
      <w:r>
        <w:rPr/>
        <w:t xml:space="preserve">Describes a real-time system used by ship-based operations for navigation timing relative to sea ice and weather conditions. Demonstrates benefits of improved situational awareness for ship-based Arctic operations.[40]</w:t>
      </w:r>
    </w:p>
    <w:p>
      <w:pPr>
        <w:spacing w:line="271" w:before="240" w:lineRule="auto"/>
      </w:pPr>
      <w:bookmarkStart w:id="27" w:name="northern_dvina_river_context"/>
      <w:r>
        <w:rPr>
          <w:b/>
          <w:sz w:val="28"/>
        </w:rPr>
        <w:t xml:space="preserve">Northern Dvina River Context</w:t>
      </w:r>
      <w:bookmarkEnd w:id="27"/>
    </w:p>
    <w:p>
      <w:pPr>
        <w:spacing w:after="210" w:lineRule="auto"/>
      </w:pPr>
      <w:r>
        <w:rPr/>
        <w:t xml:space="preserve">The </w:t>
      </w:r>
      <w:r>
        <w:rPr>
          <w:b/>
        </w:rPr>
        <w:t xml:space="preserve">Northern Dvina</w:t>
      </w:r>
      <w:r>
        <w:rPr/>
        <w:t xml:space="preserve"> is a major river in northern Russia flowing through Vologda Oblast and Arkhangelsk Oblast into the Dvina Bay of the White Sea. The river experiences dramatic </w:t>
      </w:r>
      <w:r>
        <w:rPr>
          <w:b/>
        </w:rPr>
        <w:t xml:space="preserve">ice drift events</w:t>
      </w:r>
      <w:r>
        <w:rPr>
          <w:rFonts w:eastAsia="Georgia" w:cs="Georgia" w:ascii="Georgia" w:hAnsi="Georgia"/>
        </w:rPr>
        <w:t xml:space="preserve"> (e.g., April 2024 ice drift under the railway bridge in Arkhangelsk ), presenting unique challenges for USV perception including massive ice floe motion, dynamic water levels during ice breakup, and extreme seasonal light variation at 64°N latitude.[41][42]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bm_3_safety_first_annotation_prin_60605e"/>
      <w:r>
        <w:rPr>
          <w:b/>
          <w:sz w:val="42"/>
        </w:rPr>
        <w:t xml:space="preserve">3. "Safety-First" Annotation Principles (Cross-Domain)</w:t>
      </w:r>
      <w:bookmarkEnd w:id="28"/>
    </w:p>
    <w:p>
      <w:pPr>
        <w:spacing w:line="271" w:before="240" w:lineRule="auto"/>
      </w:pPr>
      <w:bookmarkStart w:id="29" w:name="bm_3_1_acdc_adverse_conditions_da_36449d"/>
      <w:r>
        <w:rPr>
          <w:rFonts w:eastAsia="Georgia" w:cs="Georgia" w:ascii="Georgia" w:hAnsi="Georgia"/>
          <w:b/>
          <w:sz w:val="33"/>
        </w:rPr>
        <w:t xml:space="preserve">3.1 ACDC — Adverse Conditions Dataset with Correspondences</w:t>
      </w:r>
      <w:bookmarkEnd w:id="29"/>
    </w:p>
    <w:p>
      <w:pPr>
        <w:spacing w:after="210" w:lineRule="auto"/>
      </w:pPr>
      <w:r>
        <w:rPr>
          <w:b/>
        </w:rPr>
        <w:t xml:space="preserve">Paper:</w:t>
      </w:r>
      <w:r>
        <w:rPr/>
        <w:t xml:space="preserve"> Sakaridis, C., Dai, D., &amp; Van Gool, L. "ACDC: The Adverse Conditions Dataset with Correspondences for Semantic Driving Scene Understanding." </w:t>
      </w:r>
      <w:r>
        <w:rPr>
          <w:i/>
        </w:rPr>
        <w:t xml:space="preserve">Proceedings of the IEEE/CVF International Conference on Computer Vision (ICCV)</w:t>
      </w:r>
      <w:r>
        <w:rPr>
          <w:rFonts w:eastAsia="Georgia" w:cs="Georgia" w:ascii="Georgia" w:hAnsi="Georgia"/>
        </w:rPr>
        <w:t xml:space="preserve">, pp. 10765–10775, 2021.[43]</w:t>
      </w:r>
    </w:p>
    <w:p>
      <w:pPr>
        <w:spacing w:after="210" w:lineRule="auto"/>
      </w:pPr>
      <w:r>
        <w:rPr>
          <w:b/>
        </w:rPr>
        <w:t xml:space="preserve">Extended version:</w:t>
      </w:r>
      <w:r>
        <w:rPr/>
        <w:t xml:space="preserve"> "ACDC: The Adverse Conditions Dataset With Correspondences for Robust Semantic Driving Scene Perception." </w:t>
      </w:r>
      <w:r>
        <w:rPr>
          <w:i/>
        </w:rPr>
        <w:t xml:space="preserve">IEEE Transactions on Pattern Analysis and Machine Intelligence (TPAMI)</w:t>
      </w:r>
      <w:r>
        <w:rPr/>
        <w:t xml:space="preserve">, 2024.[44]</w:t>
      </w:r>
    </w:p>
    <w:p>
      <w:pPr>
        <w:spacing w:after="210" w:lineRule="auto"/>
      </w:pPr>
      <w:r>
        <w:rPr>
          <w:b/>
        </w:rPr>
        <w:t xml:space="preserve">Key annotation principles for handling adverse weather:</w:t>
      </w:r>
    </w:p>
    <w:p>
      <w:pPr>
        <w:numPr>
          <w:ilvl w:val="0"/>
          <w:numId w:val="8"/>
        </w:numPr>
        <w:spacing w:lineRule="auto"/>
      </w:pPr>
      <w:r>
        <w:rPr>
          <w:b/>
        </w:rPr>
        <w:t xml:space="preserve">4,006 adverse images</w:t>
      </w:r>
      <w:r>
        <w:rPr/>
        <w:t xml:space="preserve"> equally distributed across fog, nighttime, rain, and snow conditions[43]</w:t>
      </w:r>
    </w:p>
    <w:p>
      <w:pPr>
        <w:numPr>
          <w:ilvl w:val="0"/>
          <w:numId w:val="8"/>
        </w:numPr>
        <w:spacing w:lineRule="auto"/>
      </w:pPr>
      <w:r>
        <w:rPr>
          <w:b/>
        </w:rPr>
        <w:t xml:space="preserve">Two-stage annotation protocol:</w:t>
      </w:r>
      <w:r>
        <w:rPr/>
        <w:t xml:space="preserve"> First, standard pixel-level semantic labels (Cityscapes 19 classes). Second, a </w:t>
      </w:r>
      <w:r>
        <w:rPr>
          <w:b/>
        </w:rPr>
        <w:t xml:space="preserve">binary mask</w:t>
      </w:r>
      <w:r>
        <w:rPr/>
        <w:t xml:space="preserve"> distinguishing between regions of </w:t>
      </w:r>
      <w:r>
        <w:rPr>
          <w:i/>
        </w:rPr>
        <w:t xml:space="preserve">clear semantic content</w:t>
      </w:r>
      <w:r>
        <w:rPr/>
        <w:t xml:space="preserve"> and </w:t>
      </w:r>
      <w:r>
        <w:rPr>
          <w:i/>
        </w:rPr>
        <w:t xml:space="preserve">uncertain semantic content</w:t>
      </w:r>
      <w:r>
        <w:rPr/>
        <w:t xml:space="preserve">[43]</w:t>
      </w:r>
    </w:p>
    <w:p>
      <w:pPr>
        <w:numPr>
          <w:ilvl w:val="0"/>
          <w:numId w:val="8"/>
        </w:numPr>
        <w:spacing w:lineRule="auto"/>
      </w:pPr>
      <w:r>
        <w:rPr>
          <w:b/>
        </w:rPr>
        <w:t xml:space="preserve">Handling fog/adverse weather:</w:t>
      </w:r>
      <w:r>
        <w:rPr/>
        <w:t xml:space="preserve"> Regions where the object class is uncertain due to weather degradation are explicitly marked in the binary uncertainty mask. This supports a new task: </w:t>
      </w:r>
      <w:r>
        <w:rPr>
          <w:b/>
        </w:rPr>
        <w:t xml:space="preserve">uncertainty-aware semantic segmentation</w:t>
      </w:r>
      <w:r>
        <w:rPr/>
        <w:t xml:space="preserve">, where the model must predict both labels and the confidence of those labels[44]</w:t>
      </w:r>
    </w:p>
    <w:p>
      <w:pPr>
        <w:numPr>
          <w:ilvl w:val="0"/>
          <w:numId w:val="8"/>
        </w:numPr>
        <w:spacing w:lineRule="auto"/>
      </w:pPr>
      <w:r>
        <w:rPr>
          <w:b/>
        </w:rPr>
        <w:t xml:space="preserve">Correspondence images:</w:t>
      </w:r>
      <w:r>
        <w:rPr/>
        <w:t xml:space="preserve"> Each adverse-condition image is paired with a corresponding normal-condition image of the same scene, enabling direct measurement of weather-induced domain shift[43]</w:t>
      </w:r>
    </w:p>
    <w:p>
      <w:pPr>
        <w:spacing w:line="271" w:before="240" w:lineRule="auto"/>
      </w:pPr>
      <w:bookmarkStart w:id="30" w:name="bm_3_2_foggy_cityscapes_foggy_zur_ef273b"/>
      <w:r>
        <w:rPr>
          <w:rFonts w:eastAsia="Georgia" w:cs="Georgia" w:ascii="Georgia" w:hAnsi="Georgia"/>
          <w:b/>
          <w:sz w:val="33"/>
        </w:rPr>
        <w:t xml:space="preserve">3.2 Foggy Cityscapes &amp; Foggy Zurich — Fog Annotation Protocols</w:t>
      </w:r>
      <w:bookmarkEnd w:id="30"/>
    </w:p>
    <w:p>
      <w:pPr>
        <w:spacing w:after="210" w:lineRule="auto"/>
      </w:pPr>
      <w:r>
        <w:rPr>
          <w:b/>
        </w:rPr>
        <w:t xml:space="preserve">Paper:</w:t>
      </w:r>
      <w:r>
        <w:rPr/>
        <w:t xml:space="preserve"> Sakaridis, C., Dai, D., &amp; Van Gool, L. "Semantic Foggy Scene Understanding with Synthetic Data." </w:t>
      </w:r>
      <w:r>
        <w:rPr>
          <w:i/>
        </w:rPr>
        <w:t xml:space="preserve">International Journal of Computer Vision</w:t>
      </w:r>
      <w:r>
        <w:rPr/>
        <w:t xml:space="preserve">, vol. 126, 2018.[45]</w:t>
      </w:r>
    </w:p>
    <w:p>
      <w:pPr>
        <w:spacing w:after="210" w:lineRule="auto"/>
      </w:pPr>
      <w:r>
        <w:rPr>
          <w:b/>
        </w:rPr>
        <w:t xml:space="preserve">PDF:</w:t>
      </w:r>
      <w:r>
        <w:rPr/>
        <w:t xml:space="preserve"> </w:t>
      </w:r>
      <w:hyperlink r:id="rId17">
        <w:r>
          <w:rPr>
            <w:color w:val="4472C4"/>
          </w:rPr>
          <w:t xml:space="preserve">https://arxiv.org/pdf/1708.07819.pdf[46]</w:t>
        </w:r>
      </w:hyperlink>
    </w:p>
    <w:p>
      <w:pPr>
        <w:spacing w:after="210" w:lineRule="auto"/>
      </w:pPr>
      <w:r>
        <w:rPr>
          <w:b/>
        </w:rPr>
        <w:t xml:space="preserve">Foggy Zurich paper:</w:t>
      </w:r>
      <w:r>
        <w:rPr/>
        <w:t xml:space="preserve"> Sakaridis, C., Dai, D., &amp; Van Gool, L. "Model Adaptation with Synthetic and Real Data for Semantic Dense Foggy Scene Understanding." </w:t>
      </w:r>
      <w:r>
        <w:rPr>
          <w:i/>
        </w:rPr>
        <w:t xml:space="preserve">ECCV 2018</w:t>
      </w:r>
      <w:r>
        <w:rPr/>
        <w:t xml:space="preserve">.[47]</w:t>
      </w:r>
    </w:p>
    <w:p>
      <w:pPr>
        <w:spacing w:after="210" w:lineRule="auto"/>
      </w:pPr>
      <w:r>
        <w:rPr>
          <w:b/>
        </w:rPr>
        <w:t xml:space="preserve">Handling objects in fog — the void label approach:</w:t>
      </w:r>
    </w:p>
    <w:p>
      <w:pPr>
        <w:numPr>
          <w:ilvl w:val="0"/>
          <w:numId w:val="9"/>
        </w:numPr>
        <w:spacing w:lineRule="auto"/>
      </w:pPr>
      <w:r>
        <w:rPr>
          <w:b/>
        </w:rPr>
        <w:t xml:space="preserve">Foggy Cityscapes:</w:t>
      </w:r>
      <w:r>
        <w:rPr/>
        <w:t xml:space="preserve"> Synthetic fog added to Cityscapes images using depth maps. Ground-truth annotations are </w:t>
      </w:r>
      <w:r>
        <w:rPr>
          <w:b/>
        </w:rPr>
        <w:t xml:space="preserve">inherited</w:t>
      </w:r>
      <w:r>
        <w:rPr/>
        <w:t xml:space="preserve"> from the clear-weather Cityscapes labels, assuming objects retain their labels even under fog. This is possible because the fog is synthetically generated[45]</w:t>
      </w:r>
    </w:p>
    <w:p>
      <w:pPr>
        <w:numPr>
          <w:ilvl w:val="0"/>
          <w:numId w:val="9"/>
        </w:numPr>
        <w:spacing w:lineRule="auto"/>
      </w:pPr>
      <w:r>
        <w:rPr>
          <w:b/>
        </w:rPr>
        <w:t xml:space="preserve">Foggy Zurich:</w:t>
      </w:r>
      <w:r>
        <w:rPr/>
        <w:t xml:space="preserve"> Real foggy images annotated with fine pixel-level semantic labels using 19 Cityscapes evaluation classes. Critically, pixels where the class is </w:t>
      </w:r>
      <w:r>
        <w:rPr>
          <w:b/>
        </w:rPr>
        <w:t xml:space="preserve">uncertain due to the presence of fog</w:t>
      </w:r>
      <w:r>
        <w:rPr/>
        <w:t xml:space="preserve"> are assigned the </w:t>
      </w:r>
      <w:r>
        <w:rPr>
          <w:b/>
        </w:rPr>
        <w:t xml:space="preserve">void label</w:t>
      </w:r>
      <w:r>
        <w:rPr/>
        <w:t xml:space="preserve"> and are </w:t>
      </w:r>
      <w:r>
        <w:rPr>
          <w:b/>
        </w:rPr>
        <w:t xml:space="preserve">ignored for semantic segmentation evaluation</w:t>
      </w:r>
      <w:r>
        <w:rPr/>
        <w:t xml:space="preserve">[48]</w:t>
      </w:r>
    </w:p>
    <w:p>
      <w:pPr>
        <w:numPr>
          <w:ilvl w:val="0"/>
          <w:numId w:val="9"/>
        </w:numPr>
        <w:spacing w:lineRule="auto"/>
      </w:pPr>
      <w:r>
        <w:rPr>
          <w:b/>
        </w:rPr>
        <w:t xml:space="preserve">Foggy Driving:</w:t>
      </w:r>
      <w:r>
        <w:rPr>
          <w:rFonts w:eastAsia="Georgia" w:cs="Georgia" w:ascii="Georgia" w:hAnsi="Georgia"/>
        </w:rPr>
        <w:t xml:space="preserve"> 101 real-world foggy road scenes with pixel-level semantic annotations (19 classes) and bounding box annotations for 8 vehicle/human classes (500+ vehicles, ~300 humans). Images span a range of fog densities[49]</w:t>
      </w:r>
    </w:p>
    <w:p>
      <w:pPr>
        <w:spacing w:after="210" w:lineRule="auto"/>
      </w:pPr>
      <w:r>
        <w:rPr>
          <w:b/>
        </w:rPr>
        <w:t xml:space="preserve">Practical implication:</w:t>
      </w:r>
      <w:r>
        <w:rPr/>
        <w:t xml:space="preserve"> Rather than "expanding the mask" to guess obscured object boundaries, the standard approach for safety-critical foggy annotation is to mark uncertain fog-affected regions as </w:t>
      </w:r>
      <w:r>
        <w:rPr>
          <w:b/>
        </w:rPr>
        <w:t xml:space="preserve">void/ignore</w:t>
      </w:r>
      <w:r>
        <w:rPr/>
        <w:t xml:space="preserve">, ensuring the model is never trained on unreliable ground truth.</w:t>
      </w:r>
    </w:p>
    <w:p>
      <w:pPr>
        <w:spacing w:line="271" w:before="240" w:lineRule="auto"/>
      </w:pPr>
      <w:bookmarkStart w:id="31" w:name="bm_3_3_idd_aw_safe_segmentation_metric"/>
      <w:r>
        <w:rPr>
          <w:rFonts w:eastAsia="Georgia" w:cs="Georgia" w:ascii="Georgia" w:hAnsi="Georgia"/>
          <w:b/>
          <w:sz w:val="33"/>
        </w:rPr>
        <w:t xml:space="preserve">3.3 IDD-AW — Safe Segmentation Metric</w:t>
      </w:r>
      <w:bookmarkEnd w:id="31"/>
    </w:p>
    <w:p>
      <w:pPr>
        <w:spacing w:after="210" w:lineRule="auto"/>
      </w:pPr>
      <w:r>
        <w:rPr>
          <w:b/>
        </w:rPr>
        <w:t xml:space="preserve">Paper:</w:t>
      </w:r>
      <w:r>
        <w:rPr/>
        <w:t xml:space="preserve"> "IDD-AW: A Benchmark for Safe and Robust Segmentation of Drive Scenes in Unstructured Traffic and Adverse Weather." </w:t>
      </w:r>
      <w:r>
        <w:rPr>
          <w:i/>
        </w:rPr>
        <w:t xml:space="preserve">IEEE/CVF Winter Conference on Applications of Computer Vision (WACV)</w:t>
      </w:r>
      <w:r>
        <w:rPr/>
        <w:t xml:space="preserve">, 2024.[50]</w:t>
      </w:r>
    </w:p>
    <w:p>
      <w:pPr>
        <w:spacing w:after="210" w:lineRule="auto"/>
      </w:pPr>
      <w:r>
        <w:rPr>
          <w:b/>
        </w:rPr>
        <w:t xml:space="preserve">Key contribution — Safe mIoU metric:</w:t>
      </w:r>
    </w:p>
    <w:p>
      <w:pPr>
        <w:numPr>
          <w:ilvl w:val="0"/>
          <w:numId w:val="10"/>
        </w:numPr>
        <w:spacing w:lineRule="auto"/>
      </w:pPr>
      <w:r>
        <w:rPr/>
        <w:t xml:space="preserve">5,000 paired images (visible + NIR) with pixel-level annotations under rain, fog, low light, and snow</w:t>
      </w:r>
    </w:p>
    <w:p>
      <w:pPr>
        <w:numPr>
          <w:ilvl w:val="0"/>
          <w:numId w:val="10"/>
        </w:numPr>
        <w:spacing w:lineRule="auto"/>
      </w:pPr>
      <w:r>
        <w:rPr/>
        <w:t xml:space="preserve">Proposes a </w:t>
      </w:r>
      <w:r>
        <w:rPr>
          <w:b/>
        </w:rPr>
        <w:t xml:space="preserve">4-level label hierarchy</w:t>
      </w:r>
      <w:r>
        <w:rPr/>
        <w:t xml:space="preserve"> capturing unstructured traffic conditions</w:t>
      </w:r>
    </w:p>
    <w:p>
      <w:pPr>
        <w:numPr>
          <w:ilvl w:val="0"/>
          <w:numId w:val="10"/>
        </w:numPr>
        <w:spacing w:lineRule="auto"/>
      </w:pPr>
      <w:r>
        <w:rPr>
          <w:b/>
        </w:rPr>
        <w:t xml:space="preserve">Safe mIoU</w:t>
      </w:r>
      <w:r>
        <w:rPr/>
        <w:t xml:space="preserve"> metric that </w:t>
      </w:r>
      <w:r>
        <w:rPr>
          <w:b/>
        </w:rPr>
        <w:t xml:space="preserve">penalizes dangerous mispredictions</w:t>
      </w:r>
      <w:r>
        <w:rPr>
          <w:rFonts w:eastAsia="Georgia" w:cs="Georgia" w:ascii="Georgia" w:hAnsi="Georgia"/>
        </w:rPr>
        <w:t xml:space="preserve"> not captured by standard mIoU — e.g., confusing a pedestrian with road is penalized more heavily than confusing road with sidewalk[50]</w:t>
      </w:r>
    </w:p>
    <w:p>
      <w:pPr>
        <w:numPr>
          <w:ilvl w:val="0"/>
          <w:numId w:val="10"/>
        </w:numPr>
        <w:spacing w:lineRule="auto"/>
      </w:pPr>
      <w:r>
        <w:rPr/>
        <w:t xml:space="preserve">Establishes a safety hierarchy where certain misclassifications are categorized by severity[51]</w:t>
      </w:r>
    </w:p>
    <w:p>
      <w:pPr>
        <w:spacing w:line="271" w:before="240" w:lineRule="auto"/>
      </w:pPr>
      <w:bookmarkStart w:id="32" w:name="bm_3_4_uncertainty_estimation_for_778293"/>
      <w:r>
        <w:rPr>
          <w:b/>
          <w:sz w:val="33"/>
        </w:rPr>
        <w:t xml:space="preserve">3.4 Uncertainty Estimation for Safety-Critical Segmentation</w:t>
      </w:r>
      <w:bookmarkEnd w:id="32"/>
    </w:p>
    <w:p>
      <w:pPr>
        <w:spacing w:after="210" w:lineRule="auto"/>
      </w:pPr>
      <w:r>
        <w:rPr>
          <w:b/>
        </w:rPr>
        <w:t xml:space="preserve">Paper:</w:t>
      </w:r>
      <w:r>
        <w:rPr/>
        <w:t xml:space="preserve"> Besnier, V. et al. "Learning Uncertainty for Safety-Oriented Semantic Segmentation in Autonomous Driving." </w:t>
      </w:r>
      <w:r>
        <w:rPr>
          <w:i/>
        </w:rPr>
        <w:t xml:space="preserve">arXiv:2105.13688</w:t>
      </w:r>
      <w:r>
        <w:rPr/>
        <w:t xml:space="preserve">, 2021.[52]</w:t>
      </w:r>
    </w:p>
    <w:p>
      <w:pPr>
        <w:spacing w:after="210" w:lineRule="auto"/>
      </w:pPr>
      <w:r>
        <w:rPr>
          <w:b/>
        </w:rPr>
        <w:t xml:space="preserve">PDF:</w:t>
      </w:r>
      <w:r>
        <w:rPr/>
        <w:t xml:space="preserve"> </w:t>
      </w:r>
      <w:hyperlink r:id="rId18">
        <w:r>
          <w:rPr>
            <w:color w:val="4472C4"/>
          </w:rPr>
          <w:t xml:space="preserve">https://arxiv.org/pdf/2105.13688.pdf[53]</w:t>
        </w:r>
      </w:hyperlink>
    </w:p>
    <w:p>
      <w:pPr>
        <w:spacing w:after="210" w:lineRule="auto"/>
      </w:pPr>
      <w:r>
        <w:rPr>
          <w:b/>
        </w:rPr>
        <w:t xml:space="preserve">Key contributions:</w:t>
      </w:r>
    </w:p>
    <w:p>
      <w:pPr>
        <w:numPr>
          <w:ilvl w:val="0"/>
          <w:numId w:val="11"/>
        </w:numPr>
        <w:spacing w:lineRule="auto"/>
      </w:pPr>
      <w:r>
        <w:rPr/>
        <w:t xml:space="preserve">Introduces a </w:t>
      </w:r>
      <w:r>
        <w:rPr>
          <w:b/>
        </w:rPr>
        <w:t xml:space="preserve">safety threshold δ</w:t>
      </w:r>
      <w:r>
        <w:rPr/>
        <w:t xml:space="preserve"> such that predictions with uncertainty above the threshold trigger a </w:t>
      </w:r>
      <w:r>
        <w:rPr>
          <w:b/>
        </w:rPr>
        <w:t xml:space="preserve">fallback behavior</w:t>
      </w:r>
      <w:r>
        <w:rPr/>
        <w:t xml:space="preserve"> rather than risking incorrect decisions[53]</w:t>
      </w:r>
    </w:p>
    <w:p>
      <w:pPr>
        <w:numPr>
          <w:ilvl w:val="0"/>
          <w:numId w:val="11"/>
        </w:numPr>
        <w:spacing w:lineRule="auto"/>
      </w:pPr>
      <w:r>
        <w:rPr/>
        <w:t xml:space="preserve">Proposes an "observer" network trained in parallel to the task-specific segmentation network, dedicated to uncertainty estimation via self-supervision[53]</w:t>
      </w:r>
    </w:p>
    <w:p>
      <w:pPr>
        <w:numPr>
          <w:ilvl w:val="0"/>
          <w:numId w:val="11"/>
        </w:numPr>
        <w:spacing w:lineRule="auto"/>
      </w:pPr>
      <w:r>
        <w:rPr/>
        <w:t xml:space="preserve">Computationally efficient (single forward pass vs. MC Dropout multiple passes)</w:t>
      </w:r>
    </w:p>
    <w:p>
      <w:pPr>
        <w:numPr>
          <w:ilvl w:val="0"/>
          <w:numId w:val="11"/>
        </w:numPr>
        <w:spacing w:lineRule="auto"/>
      </w:pPr>
      <w:r>
        <w:rPr/>
        <w:t xml:space="preserve">Demonstrates ability to </w:t>
      </w:r>
      <w:r>
        <w:rPr>
          <w:b/>
        </w:rPr>
        <w:t xml:space="preserve">detect uncertain predictions arising from glare artifacts</w:t>
      </w:r>
      <w:r>
        <w:rPr>
          <w:rFonts w:eastAsia="Georgia" w:cs="Georgia" w:ascii="Georgia" w:hAnsi="Georgia"/>
        </w:rPr>
        <w:t xml:space="preserve"> — directly relevant to maritime environments[53]</w:t>
      </w:r>
    </w:p>
    <w:p>
      <w:pPr>
        <w:spacing w:line="271" w:before="240" w:lineRule="auto"/>
      </w:pPr>
      <w:bookmarkStart w:id="33" w:name="bm_3_5_fogadapt_self_supervised_f_bf1bd2"/>
      <w:r>
        <w:rPr>
          <w:rFonts w:eastAsia="Georgia" w:cs="Georgia" w:ascii="Georgia" w:hAnsi="Georgia"/>
          <w:b/>
          <w:sz w:val="33"/>
        </w:rPr>
        <w:t xml:space="preserve">3.5 FogAdapt — Self-Supervised Foggy Domain Adaptation</w:t>
      </w:r>
      <w:bookmarkEnd w:id="33"/>
    </w:p>
    <w:p>
      <w:pPr>
        <w:spacing w:after="210" w:lineRule="auto"/>
      </w:pPr>
      <w:r>
        <w:rPr>
          <w:b/>
        </w:rPr>
        <w:t xml:space="preserve">Paper:</w:t>
      </w:r>
      <w:r>
        <w:rPr/>
        <w:t xml:space="preserve"> "FogAdapt: Self-supervised domain adaptation for semantic segmentation of foggy images." </w:t>
      </w:r>
      <w:r>
        <w:rPr>
          <w:i/>
        </w:rPr>
        <w:t xml:space="preserve">Neurocomputing</w:t>
      </w:r>
      <w:r>
        <w:rPr/>
        <w:t xml:space="preserve">, 2022.[54]</w:t>
      </w:r>
    </w:p>
    <w:p>
      <w:pPr>
        <w:spacing w:after="210" w:lineRule="auto"/>
      </w:pPr>
      <w:r>
        <w:rPr/>
        <w:t xml:space="preserve">Key finding: increased fog density leads to heightened </w:t>
      </w:r>
      <w:r>
        <w:rPr>
          <w:b/>
        </w:rPr>
        <w:t xml:space="preserve">self-entropy in segmentation probabilities</w:t>
      </w:r>
      <w:r>
        <w:rPr/>
        <w:t xml:space="preserve">. Proposes a self-entropy-based loss function and multi-scale uncertainty-weighted inference to create fog-density-invariant pseudo-labels for training.[54]</w:t>
      </w:r>
    </w:p>
    <w:p>
      <w:pPr>
        <w:spacing w:line="271" w:before="240" w:lineRule="auto"/>
      </w:pPr>
      <w:bookmarkStart w:id="34" w:name="bm_3_6_weatherproof_language_guid_671a2b"/>
      <w:r>
        <w:rPr>
          <w:rFonts w:eastAsia="Georgia" w:cs="Georgia" w:ascii="Georgia" w:hAnsi="Georgia"/>
          <w:b/>
          <w:sz w:val="33"/>
        </w:rPr>
        <w:t xml:space="preserve">3.6 WeatherProof — Language-Guided Adverse Weather Segmentation</w:t>
      </w:r>
      <w:bookmarkEnd w:id="34"/>
    </w:p>
    <w:p>
      <w:pPr>
        <w:spacing w:after="210" w:lineRule="auto"/>
      </w:pPr>
      <w:r>
        <w:rPr>
          <w:b/>
        </w:rPr>
        <w:t xml:space="preserve">Paper:</w:t>
      </w:r>
      <w:r>
        <w:rPr/>
        <w:t xml:space="preserve"> "WeatherProof: Leveraging Language Guidance for Semantic Segmentation in Adverse Weather." </w:t>
      </w:r>
      <w:r>
        <w:rPr>
          <w:i/>
        </w:rPr>
        <w:t xml:space="preserve">CVPR 2024</w:t>
      </w:r>
      <w:r>
        <w:rPr/>
        <w:t xml:space="preserve">.[55]</w:t>
      </w:r>
    </w:p>
    <w:p>
      <w:pPr>
        <w:spacing w:after="210" w:lineRule="auto"/>
      </w:pPr>
      <w:r>
        <w:rPr/>
        <w:t xml:space="preserve">Creates the first semantic segmentation dataset with </w:t>
      </w:r>
      <w:r>
        <w:rPr>
          <w:b/>
        </w:rPr>
        <w:t xml:space="preserve">accurate clear/adverse weather image pairs sharing the same underlying scene</w:t>
      </w:r>
      <w:r>
        <w:rPr/>
        <w:t xml:space="preserve">. Identifies that performance drops arise from the complex combination of different weather effects, and proposes using language descriptions of weather conditions as "side information" to improve robustness (up to 10.2% mIoU improvement).[55]</w:t>
      </w:r>
    </w:p>
    <w:p>
      <w:pPr>
        <w:spacing w:line="271" w:before="240" w:lineRule="auto"/>
      </w:pPr>
      <w:bookmarkStart w:id="35" w:name="bm_3_7_managing_data_annotation_r_f82cd9"/>
      <w:r>
        <w:rPr>
          <w:b/>
          <w:sz w:val="33"/>
        </w:rPr>
        <w:t xml:space="preserve">3.7 Managing Data Annotation Requirements for Safety-Critical AI</w:t>
      </w:r>
      <w:bookmarkEnd w:id="35"/>
    </w:p>
    <w:p>
      <w:pPr>
        <w:spacing w:after="210" w:lineRule="auto"/>
      </w:pPr>
      <w:r>
        <w:rPr>
          <w:b/>
        </w:rPr>
        <w:t xml:space="preserve">Paper:</w:t>
      </w:r>
      <w:r>
        <w:rPr/>
        <w:t xml:space="preserve"> Saeeda, H., Mohamad, M., Knauss, E., Horkoff, J., &amp; Nouri, A. "Managing Data Annotation Requirements for AI Autonomous Driving Systems." </w:t>
      </w:r>
      <w:r>
        <w:rPr>
          <w:i/>
        </w:rPr>
        <w:t xml:space="preserve">arXiv:2511.15859</w:t>
      </w:r>
      <w:r>
        <w:rPr/>
        <w:t xml:space="preserve">, 2025.[56]</w:t>
      </w:r>
    </w:p>
    <w:p>
      <w:pPr>
        <w:spacing w:after="210" w:lineRule="auto"/>
      </w:pPr>
      <w:r>
        <w:rPr>
          <w:b/>
        </w:rPr>
        <w:t xml:space="preserve">Key findings from 19 semi-structured interviews across 6 international companies:</w:t>
      </w:r>
    </w:p>
    <w:p>
      <w:pPr>
        <w:spacing w:after="210" w:lineRule="auto"/>
      </w:pPr>
      <w:r>
        <w:rPr>
          <w:b/>
        </w:rPr>
        <w:t xml:space="preserve">Five main challenges identified:</w:t>
      </w:r>
    </w:p>
    <w:p>
      <w:pPr>
        <w:numPr>
          <w:ilvl w:val="0"/>
          <w:numId w:val="12"/>
        </w:numPr>
        <w:spacing w:lineRule="auto"/>
      </w:pPr>
      <w:r>
        <w:rPr>
          <w:b/>
        </w:rPr>
        <w:t xml:space="preserve">Edge case coverage gaps</w:t>
      </w:r>
      <w:r>
        <w:rPr>
          <w:rFonts w:eastAsia="Georgia" w:cs="Georgia" w:ascii="Georgia" w:hAnsi="Georgia"/>
        </w:rPr>
        <w:t xml:space="preserve"> — rare/ambiguous scenarios resist standardization; annotators interpret "mark only visible parts" differently, introducing bias</w:t>
      </w:r>
    </w:p>
    <w:p>
      <w:pPr>
        <w:numPr>
          <w:ilvl w:val="0"/>
          <w:numId w:val="12"/>
        </w:numPr>
        <w:spacing w:lineRule="auto"/>
      </w:pPr>
      <w:r>
        <w:rPr>
          <w:b/>
        </w:rPr>
        <w:t xml:space="preserve">Ambiguity in requirements</w:t>
      </w:r>
      <w:r>
        <w:rPr>
          <w:rFonts w:eastAsia="Georgia" w:cs="Georgia" w:ascii="Georgia" w:hAnsi="Georgia"/>
        </w:rPr>
        <w:t xml:space="preserve"> — "It's impossible to define unambiguous annotation requirements—images are inherently ambiguous"</w:t>
      </w:r>
    </w:p>
    <w:p>
      <w:pPr>
        <w:numPr>
          <w:ilvl w:val="0"/>
          <w:numId w:val="12"/>
        </w:numPr>
        <w:spacing w:lineRule="auto"/>
      </w:pPr>
      <w:r>
        <w:rPr>
          <w:b/>
        </w:rPr>
        <w:t xml:space="preserve">Evolving requirements</w:t>
      </w:r>
      <w:r>
        <w:rPr>
          <w:rFonts w:eastAsia="Georgia" w:cs="Georgia" w:ascii="Georgia" w:hAnsi="Georgia"/>
        </w:rPr>
        <w:t xml:space="preserve"> — requirements change mid-project, causing rework</w:t>
      </w:r>
    </w:p>
    <w:p>
      <w:pPr>
        <w:numPr>
          <w:ilvl w:val="0"/>
          <w:numId w:val="12"/>
        </w:numPr>
        <w:spacing w:lineRule="auto"/>
      </w:pPr>
      <w:r>
        <w:rPr>
          <w:b/>
        </w:rPr>
        <w:t xml:space="preserve">Inconsistencies</w:t>
      </w:r>
      <w:r>
        <w:rPr>
          <w:rFonts w:eastAsia="Georgia" w:cs="Georgia" w:ascii="Georgia" w:hAnsi="Georgia"/>
        </w:rPr>
        <w:t xml:space="preserve"> — divergent interpretations between annotators and supervisors</w:t>
      </w:r>
    </w:p>
    <w:p>
      <w:pPr>
        <w:numPr>
          <w:ilvl w:val="0"/>
          <w:numId w:val="12"/>
        </w:numPr>
        <w:spacing w:lineRule="auto"/>
      </w:pPr>
      <w:r>
        <w:rPr>
          <w:b/>
        </w:rPr>
        <w:t xml:space="preserve">Resource limitations</w:t>
      </w:r>
      <w:r>
        <w:rPr>
          <w:rFonts w:eastAsia="Georgia" w:cs="Georgia" w:ascii="Georgia" w:hAnsi="Georgia"/>
        </w:rPr>
        <w:t xml:space="preserve"> — budget, workforce, and time constraints[56]</w:t>
      </w:r>
    </w:p>
    <w:p>
      <w:pPr>
        <w:spacing w:after="210" w:lineRule="auto"/>
      </w:pPr>
      <w:r>
        <w:rPr>
          <w:b/>
        </w:rPr>
        <w:t xml:space="preserve">Key recommendations:</w:t>
      </w:r>
    </w:p>
    <w:p>
      <w:pPr>
        <w:numPr>
          <w:ilvl w:val="0"/>
          <w:numId w:val="13"/>
        </w:numPr>
        <w:spacing w:lineRule="auto"/>
      </w:pPr>
      <w:r>
        <w:rPr>
          <w:b/>
        </w:rPr>
        <w:t xml:space="preserve">PDCA (Plan–Do–Check–Act) cycles</w:t>
      </w:r>
      <w:r>
        <w:rPr/>
        <w:t xml:space="preserve"> for iterative guideline refinement based on annotator feedback</w:t>
      </w:r>
    </w:p>
    <w:p>
      <w:pPr>
        <w:numPr>
          <w:ilvl w:val="0"/>
          <w:numId w:val="13"/>
        </w:numPr>
        <w:spacing w:lineRule="auto"/>
      </w:pPr>
      <w:r>
        <w:rPr>
          <w:b/>
        </w:rPr>
        <w:t xml:space="preserve">Safety-centric requirements</w:t>
      </w:r>
      <w:r>
        <w:rPr>
          <w:rFonts w:eastAsia="Georgia" w:cs="Georgia" w:ascii="Georgia" w:hAnsi="Georgia"/>
        </w:rPr>
        <w:t xml:space="preserve"> — "Start by identifying data issues that could pose unacceptable safety risks"</w:t>
      </w:r>
    </w:p>
    <w:p>
      <w:pPr>
        <w:numPr>
          <w:ilvl w:val="0"/>
          <w:numId w:val="13"/>
        </w:numPr>
        <w:spacing w:lineRule="auto"/>
      </w:pPr>
      <w:r>
        <w:rPr>
          <w:b/>
        </w:rPr>
        <w:t xml:space="preserve">Multidisciplinary teams</w:t>
      </w:r>
      <w:r>
        <w:rPr>
          <w:rFonts w:eastAsia="Georgia" w:cs="Georgia" w:ascii="Georgia" w:hAnsi="Georgia"/>
        </w:rPr>
        <w:t xml:space="preserve"> — involving domain experts, data scientists, legal professionals, and annotation coordinators</w:t>
      </w:r>
    </w:p>
    <w:p>
      <w:pPr>
        <w:numPr>
          <w:ilvl w:val="0"/>
          <w:numId w:val="13"/>
        </w:numPr>
        <w:spacing w:lineRule="auto"/>
      </w:pPr>
      <w:r>
        <w:rPr>
          <w:b/>
        </w:rPr>
        <w:t xml:space="preserve">Automation as support</w:t>
      </w:r>
      <w:r>
        <w:rPr>
          <w:rFonts w:eastAsia="Georgia" w:cs="Georgia" w:ascii="Georgia" w:hAnsi="Georgia"/>
        </w:rPr>
        <w:t xml:space="preserve"> — pseudo-annotations from foundation models refined by humans, with confidence thresholds</w:t>
      </w:r>
    </w:p>
    <w:p>
      <w:pPr>
        <w:numPr>
          <w:ilvl w:val="0"/>
          <w:numId w:val="13"/>
        </w:numPr>
        <w:spacing w:lineRule="auto"/>
      </w:pPr>
      <w:r>
        <w:rPr/>
        <w:t xml:space="preserve">Alignment with </w:t>
      </w:r>
      <w:r>
        <w:rPr>
          <w:b/>
        </w:rPr>
        <w:t xml:space="preserve">ISO 26262</w:t>
      </w:r>
      <w:r>
        <w:rPr/>
        <w:t xml:space="preserve">, </w:t>
      </w:r>
      <w:r>
        <w:rPr>
          <w:b/>
        </w:rPr>
        <w:t xml:space="preserve">EU AI Act</w:t>
      </w:r>
      <w:r>
        <w:rPr/>
        <w:t xml:space="preserve">, </w:t>
      </w:r>
      <w:r>
        <w:rPr>
          <w:b/>
        </w:rPr>
        <w:t xml:space="preserve">GDPR</w:t>
      </w:r>
      <w:r>
        <w:rPr/>
        <w:t xml:space="preserve">, </w:t>
      </w:r>
      <w:r>
        <w:rPr>
          <w:b/>
        </w:rPr>
        <w:t xml:space="preserve">ISO/IEC 5259</w:t>
      </w:r>
      <w:r>
        <w:rPr/>
        <w:t xml:space="preserve">, </w:t>
      </w:r>
      <w:r>
        <w:rPr>
          <w:b/>
        </w:rPr>
        <w:t xml:space="preserve">IEEE P2801</w:t>
      </w:r>
      <w:r>
        <w:rPr/>
        <w:t xml:space="preserve"> standards[56]</w:t>
      </w:r>
    </w:p>
    <w:p>
      <w:pPr>
        <w:spacing w:line="271" w:before="240" w:lineRule="auto"/>
      </w:pPr>
      <w:bookmarkStart w:id="36" w:name="bm_3_8_practical_annotation_strat_bf6221"/>
      <w:r>
        <w:rPr>
          <w:b/>
          <w:sz w:val="33"/>
        </w:rPr>
        <w:t xml:space="preserve">3.8 Practical Annotation Strategies for Adverse Weather</w:t>
      </w:r>
      <w:bookmarkEnd w:id="36"/>
    </w:p>
    <w:p>
      <w:pPr>
        <w:spacing w:line="271" w:before="240" w:lineRule="auto"/>
      </w:pPr>
      <w:bookmarkStart w:id="37" w:name="annotation_approaches_for_rain_fo_4cb95d"/>
      <w:r>
        <w:rPr>
          <w:b/>
          <w:sz w:val="28"/>
        </w:rPr>
        <w:t xml:space="preserve">Annotation Approaches for Rain, Fog, and Snow</w:t>
      </w:r>
      <w:bookmarkEnd w:id="37"/>
    </w:p>
    <w:p>
      <w:pPr>
        <w:spacing w:after="210" w:lineRule="auto"/>
      </w:pPr>
      <w:r>
        <w:rPr>
          <w:b/>
        </w:rPr>
        <w:t xml:space="preserve">Source:</w:t>
      </w:r>
      <w:r>
        <w:rPr/>
        <w:t xml:space="preserve"> Labelvisor, "Annotating Autonomous Vehicles in Adverse Weather," 2026.[57]</w:t>
      </w:r>
    </w:p>
    <w:p>
      <w:pPr>
        <w:spacing w:after="210" w:lineRule="auto"/>
      </w:pPr>
      <w:r>
        <w:rPr>
          <w:b/>
        </w:rPr>
        <w:t xml:space="preserve">Recommended annotation strategies:</w:t>
      </w:r>
    </w:p>
    <w:p>
      <w:pPr>
        <w:numPr>
          <w:ilvl w:val="0"/>
          <w:numId w:val="14"/>
        </w:numPr>
        <w:spacing w:lineRule="auto"/>
      </w:pPr>
      <w:r>
        <w:rPr>
          <w:b/>
        </w:rPr>
        <w:t xml:space="preserve">Multi-weather annotation</w:t>
      </w:r>
      <w:r>
        <w:rPr>
          <w:rFonts w:eastAsia="Georgia" w:cs="Georgia" w:ascii="Georgia" w:hAnsi="Georgia"/>
        </w:rPr>
        <w:t xml:space="preserve"> — include diverse weather intensities to enable cross-weather generalization</w:t>
      </w:r>
    </w:p>
    <w:p>
      <w:pPr>
        <w:numPr>
          <w:ilvl w:val="0"/>
          <w:numId w:val="14"/>
        </w:numPr>
        <w:spacing w:lineRule="auto"/>
      </w:pPr>
      <w:r>
        <w:rPr>
          <w:b/>
        </w:rPr>
        <w:t xml:space="preserve">Hard-case labeling</w:t>
      </w:r>
      <w:r>
        <w:rPr>
          <w:rFonts w:eastAsia="Georgia" w:cs="Georgia" w:ascii="Georgia" w:hAnsi="Georgia"/>
        </w:rPr>
        <w:t xml:space="preserve"> — prioritize objects poorly visible due to low visibility or partially disappeared due to sensor degradation</w:t>
      </w:r>
    </w:p>
    <w:p>
      <w:pPr>
        <w:numPr>
          <w:ilvl w:val="0"/>
          <w:numId w:val="14"/>
        </w:numPr>
        <w:spacing w:lineRule="auto"/>
      </w:pPr>
      <w:r>
        <w:rPr>
          <w:b/>
        </w:rPr>
        <w:t xml:space="preserve">Annotation consistency</w:t>
      </w:r>
      <w:r>
        <w:rPr>
          <w:rFonts w:eastAsia="Georgia" w:cs="Georgia" w:ascii="Georgia" w:hAnsi="Georgia"/>
        </w:rPr>
        <w:t xml:space="preserve"> — set strict standards for labeling partially hidden or noisy objects to reduce errors across weather conditions</w:t>
      </w:r>
    </w:p>
    <w:p>
      <w:pPr>
        <w:numPr>
          <w:ilvl w:val="0"/>
          <w:numId w:val="14"/>
        </w:numPr>
        <w:spacing w:lineRule="auto"/>
      </w:pPr>
      <w:r>
        <w:rPr>
          <w:b/>
        </w:rPr>
        <w:t xml:space="preserve">Synthetic data augmentation</w:t>
      </w:r>
      <w:r>
        <w:rPr>
          <w:rFonts w:eastAsia="Georgia" w:cs="Georgia" w:ascii="Georgia" w:hAnsi="Georgia"/>
        </w:rPr>
        <w:t xml:space="preserve"> — simulate rain, fog, and snow to supplement real datasets</w:t>
      </w:r>
    </w:p>
    <w:p>
      <w:pPr>
        <w:numPr>
          <w:ilvl w:val="0"/>
          <w:numId w:val="14"/>
        </w:numPr>
        <w:spacing w:lineRule="auto"/>
      </w:pPr>
      <w:r>
        <w:rPr>
          <w:b/>
        </w:rPr>
        <w:t xml:space="preserve">Multi-sensor annotation</w:t>
      </w:r>
      <w:r>
        <w:rPr>
          <w:rFonts w:eastAsia="Georgia" w:cs="Georgia" w:ascii="Georgia" w:hAnsi="Georgia"/>
        </w:rPr>
        <w:t xml:space="preserve"> — combine camera, LiDAR, and radar data for more reliable training[57]</w:t>
      </w:r>
    </w:p>
    <w:p>
      <w:pPr>
        <w:spacing w:line="271" w:before="240" w:lineRule="auto"/>
      </w:pPr>
      <w:bookmarkStart w:id="38" w:name="night_and_rain_annotation_practices"/>
      <w:r>
        <w:rPr>
          <w:b/>
          <w:sz w:val="28"/>
        </w:rPr>
        <w:t xml:space="preserve">Night and Rain Annotation Practices</w:t>
      </w:r>
      <w:bookmarkEnd w:id="38"/>
    </w:p>
    <w:p>
      <w:pPr>
        <w:spacing w:after="210" w:lineRule="auto"/>
      </w:pPr>
      <w:r>
        <w:rPr>
          <w:b/>
        </w:rPr>
        <w:t xml:space="preserve">Source:</w:t>
      </w:r>
      <w:r>
        <w:rPr/>
        <w:t xml:space="preserve"> Annotera, "Night and Rain Data Annotation for Low-Visibility AI Models," 2026.[58]</w:t>
      </w:r>
    </w:p>
    <w:p>
      <w:pPr>
        <w:spacing w:after="210" w:lineRule="auto"/>
      </w:pPr>
      <w:r>
        <w:rPr/>
        <w:t xml:space="preserve">Treats low-visibility annotation as a specialized discipline requiring:</w:t>
      </w:r>
    </w:p>
    <w:p>
      <w:pPr>
        <w:numPr>
          <w:ilvl w:val="0"/>
          <w:numId w:val="15"/>
        </w:numPr>
        <w:spacing w:lineRule="auto"/>
      </w:pPr>
      <w:r>
        <w:rPr/>
        <w:t xml:space="preserve">Expert annotators with rigorous quality control</w:t>
      </w:r>
    </w:p>
    <w:p>
      <w:pPr>
        <w:numPr>
          <w:ilvl w:val="0"/>
          <w:numId w:val="15"/>
        </w:numPr>
        <w:spacing w:lineRule="auto"/>
      </w:pPr>
      <w:r>
        <w:rPr/>
        <w:t xml:space="preserve">Well-defined labeling policies for handling glare, reflections, motion blur, and reduced visibility</w:t>
      </w:r>
    </w:p>
    <w:p>
      <w:pPr>
        <w:numPr>
          <w:ilvl w:val="0"/>
          <w:numId w:val="15"/>
        </w:numPr>
        <w:spacing w:lineRule="auto"/>
      </w:pPr>
      <w:r>
        <w:rPr/>
        <w:t xml:space="preserve">Recognition that annotation approaches designed for daytime imagery often fail in degraded conditions[58]</w:t>
      </w:r>
    </w:p>
    <w:p>
      <w:pPr>
        <w:spacing w:line="271" w:before="240" w:lineRule="auto"/>
      </w:pPr>
      <w:bookmarkStart w:id="39" w:name="bm_3_9_semantic_segmentation_unde_4b8517"/>
      <w:r>
        <w:rPr>
          <w:b/>
          <w:sz w:val="33"/>
        </w:rPr>
        <w:t xml:space="preserve">3.9 Semantic Segmentation Under Adverse Conditions (BMVC 2022)</w:t>
      </w:r>
      <w:bookmarkEnd w:id="39"/>
    </w:p>
    <w:p>
      <w:pPr>
        <w:spacing w:after="210" w:lineRule="auto"/>
      </w:pPr>
      <w:r>
        <w:rPr>
          <w:b/>
        </w:rPr>
        <w:t xml:space="preserve">Paper:</w:t>
      </w:r>
      <w:r>
        <w:rPr/>
        <w:t xml:space="preserve"> Kerim, A. et al. "Semantic Segmentation under Adverse Conditions: A Weather and Nighttime-aware Synthetic Data-based Approach." </w:t>
      </w:r>
      <w:r>
        <w:rPr>
          <w:i/>
        </w:rPr>
        <w:t xml:space="preserve">BMVC 2022</w:t>
      </w:r>
      <w:r>
        <w:rPr/>
        <w:t xml:space="preserve">.[59]</w:t>
      </w:r>
    </w:p>
    <w:p>
      <w:pPr>
        <w:spacing w:after="210" w:lineRule="auto"/>
      </w:pPr>
      <w:r>
        <w:rPr/>
        <w:t xml:space="preserve">Proposes weather-aware and time-of-day supervisors trained with multi-task learning. Achieves 14 percentage points improvement on the ACDC dataset while maintaining performance on Cityscapes. Shows that naively using synthetic data can actually </w:t>
      </w:r>
      <w:r>
        <w:rPr>
          <w:b/>
        </w:rPr>
        <w:t xml:space="preserve">harm</w:t>
      </w:r>
      <w:r>
        <w:rPr>
          <w:rFonts w:eastAsia="Georgia" w:cs="Georgia" w:ascii="Georgia" w:hAnsi="Georgia"/>
        </w:rPr>
        <w:t xml:space="preserve"> performance on normal conditions while providing only marginal gains under adverse conditions — proper domain-aware architecture design is critical.[60][59]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summary_comparison_of_maritime_se_5d56f0"/>
      <w:r>
        <w:rPr>
          <w:b/>
          <w:sz w:val="42"/>
        </w:rPr>
        <w:t xml:space="preserve">Summary Comparison of Maritime Segmentation Datasets</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MaSTr1325</w:t>
            </w:r>
          </w:p>
        </w:tc>
        <w:tc>
          <w:tcPr>
            <w:tcBorders>
              <w:top w:val="single" w:sz="1" w:space="0" w:color="000000"/>
              <w:left w:val="single" w:sz="1" w:space="0" w:color="000000"/>
              <w:bottom w:val="single" w:sz="1" w:space="0" w:color="000000"/>
            </w:tcBorders>
          </w:tcPr>
          <w:p>
            <w:pPr>
              <w:spacing w:lineRule="auto"/>
            </w:pPr>
            <w:r>
              <w:rPr/>
              <w:t xml:space="preserve">MODD2</w:t>
            </w:r>
          </w:p>
        </w:tc>
        <w:tc>
          <w:tcPr>
            <w:tcBorders>
              <w:top w:val="single" w:sz="1" w:space="0" w:color="000000"/>
              <w:left w:val="single" w:sz="1" w:space="0" w:color="000000"/>
              <w:bottom w:val="single" w:sz="1" w:space="0" w:color="000000"/>
            </w:tcBorders>
          </w:tcPr>
          <w:p>
            <w:pPr>
              <w:spacing w:lineRule="auto"/>
            </w:pPr>
            <w:r>
              <w:rPr/>
              <w:t xml:space="preserve">LaRS</w:t>
            </w:r>
          </w:p>
        </w:tc>
        <w:tc>
          <w:tcPr>
            <w:tcBorders>
              <w:top w:val="single" w:sz="1" w:space="0" w:color="000000"/>
              <w:left w:val="single" w:sz="1" w:space="0" w:color="000000"/>
              <w:bottom w:val="single" w:sz="1" w:space="0" w:color="000000"/>
            </w:tcBorders>
          </w:tcPr>
          <w:p>
            <w:pPr>
              <w:spacing w:lineRule="auto"/>
            </w:pPr>
            <w:r>
              <w:rPr/>
              <w:t xml:space="preserve">WaterScenes</w:t>
            </w:r>
          </w:p>
        </w:tc>
      </w:tr>
      <w:tr>
        <w:trPr>
          <w:cantSplit/>
        </w:trPr>
        <w:tc>
          <w:tcPr>
            <w:tcBorders>
              <w:top w:val="single" w:sz="1" w:space="0" w:color="000000"/>
              <w:bottom w:val="single" w:sz="1" w:space="0" w:color="000000"/>
            </w:tcBorders>
          </w:tcPr>
          <w:p>
            <w:pPr>
              <w:spacing w:lineRule="auto"/>
            </w:pPr>
            <w:r>
              <w:rPr>
                <w:b/>
              </w:rPr>
              <w:t xml:space="preserve">Year</w:t>
            </w:r>
          </w:p>
        </w:tc>
        <w:tc>
          <w:tcPr>
            <w:tcBorders>
              <w:top w:val="single" w:sz="1" w:space="0" w:color="000000"/>
              <w:left w:val="single" w:sz="1" w:space="0" w:color="000000"/>
              <w:bottom w:val="single" w:sz="1" w:space="0" w:color="000000"/>
            </w:tcBorders>
          </w:tcPr>
          <w:p>
            <w:pPr>
              <w:spacing w:lineRule="auto"/>
            </w:pPr>
            <w:r>
              <w:rPr/>
              <w:t xml:space="preserve">2019</w:t>
            </w:r>
          </w:p>
        </w:tc>
        <w:tc>
          <w:tcPr>
            <w:tcBorders>
              <w:top w:val="single" w:sz="1" w:space="0" w:color="000000"/>
              <w:left w:val="single" w:sz="1" w:space="0" w:color="000000"/>
              <w:bottom w:val="single" w:sz="1" w:space="0" w:color="000000"/>
            </w:tcBorders>
          </w:tcPr>
          <w:p>
            <w:pPr>
              <w:spacing w:lineRule="auto"/>
            </w:pPr>
            <w:r>
              <w:rPr/>
              <w:t xml:space="preserve">2018</w:t>
            </w:r>
          </w:p>
        </w:tc>
        <w:tc>
          <w:tcPr>
            <w:tcBorders>
              <w:top w:val="single" w:sz="1" w:space="0" w:color="000000"/>
              <w:left w:val="single" w:sz="1" w:space="0" w:color="000000"/>
              <w:bottom w:val="single" w:sz="1" w:space="0" w:color="000000"/>
            </w:tcBorders>
          </w:tcPr>
          <w:p>
            <w:pPr>
              <w:spacing w:lineRule="auto"/>
            </w:pPr>
            <w:r>
              <w:rPr/>
              <w:t xml:space="preserve">2023</w:t>
            </w:r>
          </w:p>
        </w:tc>
        <w:tc>
          <w:tcPr>
            <w:tcBorders>
              <w:top w:val="single" w:sz="1" w:space="0" w:color="000000"/>
              <w:left w:val="single" w:sz="1" w:space="0" w:color="000000"/>
              <w:bottom w:val="single" w:sz="1" w:space="0" w:color="000000"/>
            </w:tcBorders>
          </w:tcPr>
          <w:p>
            <w:pPr>
              <w:spacing w:lineRule="auto"/>
            </w:pPr>
            <w:r>
              <w:rPr/>
              <w:t xml:space="preserve">2024</w:t>
            </w:r>
          </w:p>
        </w:tc>
      </w:tr>
      <w:tr>
        <w:trPr>
          <w:cantSplit/>
        </w:trPr>
        <w:tc>
          <w:tcPr>
            <w:tcBorders>
              <w:top w:val="single" w:sz="1" w:space="0" w:color="000000"/>
              <w:bottom w:val="single" w:sz="1" w:space="0" w:color="000000"/>
            </w:tcBorders>
          </w:tcPr>
          <w:p>
            <w:pPr>
              <w:spacing w:lineRule="auto"/>
            </w:pPr>
            <w:r>
              <w:rPr>
                <w:b/>
              </w:rPr>
              <w:t xml:space="preserve">Venue</w:t>
            </w:r>
          </w:p>
        </w:tc>
        <w:tc>
          <w:tcPr>
            <w:tcBorders>
              <w:top w:val="single" w:sz="1" w:space="0" w:color="000000"/>
              <w:left w:val="single" w:sz="1" w:space="0" w:color="000000"/>
              <w:bottom w:val="single" w:sz="1" w:space="0" w:color="000000"/>
            </w:tcBorders>
          </w:tcPr>
          <w:p>
            <w:pPr>
              <w:spacing w:lineRule="auto"/>
            </w:pPr>
            <w:r>
              <w:rPr/>
              <w:t xml:space="preserve">IROS</w:t>
            </w:r>
          </w:p>
        </w:tc>
        <w:tc>
          <w:tcPr>
            <w:tcBorders>
              <w:top w:val="single" w:sz="1" w:space="0" w:color="000000"/>
              <w:left w:val="single" w:sz="1" w:space="0" w:color="000000"/>
              <w:bottom w:val="single" w:sz="1" w:space="0" w:color="000000"/>
            </w:tcBorders>
          </w:tcPr>
          <w:p>
            <w:pPr>
              <w:spacing w:lineRule="auto"/>
            </w:pPr>
            <w:r>
              <w:rPr/>
              <w:t xml:space="preserve">RAL/arXiv</w:t>
            </w:r>
          </w:p>
        </w:tc>
        <w:tc>
          <w:tcPr>
            <w:tcBorders>
              <w:top w:val="single" w:sz="1" w:space="0" w:color="000000"/>
              <w:left w:val="single" w:sz="1" w:space="0" w:color="000000"/>
              <w:bottom w:val="single" w:sz="1" w:space="0" w:color="000000"/>
            </w:tcBorders>
          </w:tcPr>
          <w:p>
            <w:pPr>
              <w:spacing w:lineRule="auto"/>
            </w:pPr>
            <w:r>
              <w:rPr/>
              <w:t xml:space="preserve">ICCV</w:t>
            </w:r>
          </w:p>
        </w:tc>
        <w:tc>
          <w:tcPr>
            <w:tcBorders>
              <w:top w:val="single" w:sz="1" w:space="0" w:color="000000"/>
              <w:left w:val="single" w:sz="1" w:space="0" w:color="000000"/>
              <w:bottom w:val="single" w:sz="1" w:space="0" w:color="000000"/>
            </w:tcBorders>
          </w:tcPr>
          <w:p>
            <w:pPr>
              <w:spacing w:lineRule="auto"/>
            </w:pPr>
            <w:r>
              <w:rPr/>
              <w:t xml:space="preserve">IEEE TITS</w:t>
            </w:r>
          </w:p>
        </w:tc>
      </w:tr>
      <w:tr>
        <w:trPr>
          <w:cantSplit/>
        </w:trPr>
        <w:tc>
          <w:tcPr>
            <w:tcBorders>
              <w:top w:val="single" w:sz="1" w:space="0" w:color="000000"/>
              <w:bottom w:val="single" w:sz="1" w:space="0" w:color="000000"/>
            </w:tcBorders>
          </w:tcPr>
          <w:p>
            <w:pPr>
              <w:spacing w:lineRule="auto"/>
            </w:pPr>
            <w:r>
              <w:rPr>
                <w:b/>
              </w:rPr>
              <w:t xml:space="preserve">Frames</w:t>
            </w:r>
          </w:p>
        </w:tc>
        <w:tc>
          <w:tcPr>
            <w:tcBorders>
              <w:top w:val="single" w:sz="1" w:space="0" w:color="000000"/>
              <w:left w:val="single" w:sz="1" w:space="0" w:color="000000"/>
              <w:bottom w:val="single" w:sz="1" w:space="0" w:color="000000"/>
            </w:tcBorders>
          </w:tcPr>
          <w:p>
            <w:pPr>
              <w:spacing w:lineRule="auto"/>
            </w:pPr>
            <w:r>
              <w:rPr/>
              <w:t xml:space="preserve">1,325</w:t>
            </w:r>
          </w:p>
        </w:tc>
        <w:tc>
          <w:tcPr>
            <w:tcBorders>
              <w:top w:val="single" w:sz="1" w:space="0" w:color="000000"/>
              <w:left w:val="single" w:sz="1" w:space="0" w:color="000000"/>
              <w:bottom w:val="single" w:sz="1" w:space="0" w:color="000000"/>
            </w:tcBorders>
          </w:tcPr>
          <w:p>
            <w:pPr>
              <w:spacing w:lineRule="auto"/>
            </w:pPr>
            <w:r>
              <w:rPr/>
              <w:t xml:space="preserve">11,675</w:t>
            </w:r>
          </w:p>
        </w:tc>
        <w:tc>
          <w:tcPr>
            <w:tcBorders>
              <w:top w:val="single" w:sz="1" w:space="0" w:color="000000"/>
              <w:left w:val="single" w:sz="1" w:space="0" w:color="000000"/>
              <w:bottom w:val="single" w:sz="1" w:space="0" w:color="000000"/>
            </w:tcBorders>
          </w:tcPr>
          <w:p>
            <w:pPr>
              <w:spacing w:lineRule="auto"/>
            </w:pPr>
            <w:r>
              <w:rPr/>
              <w:t xml:space="preserve">4,006 (+36k context)</w:t>
            </w:r>
          </w:p>
        </w:tc>
        <w:tc>
          <w:tcPr>
            <w:tcBorders>
              <w:top w:val="single" w:sz="1" w:space="0" w:color="000000"/>
              <w:left w:val="single" w:sz="1" w:space="0" w:color="000000"/>
              <w:bottom w:val="single" w:sz="1" w:space="0" w:color="000000"/>
            </w:tcBorders>
          </w:tcPr>
          <w:p>
            <w:pPr>
              <w:spacing w:lineRule="auto"/>
            </w:pPr>
            <w:r>
              <w:rPr/>
              <w:t xml:space="preserve">54,120</w:t>
            </w:r>
          </w:p>
        </w:tc>
      </w:tr>
      <w:tr>
        <w:trPr>
          <w:cantSplit/>
        </w:trPr>
        <w:tc>
          <w:tcPr>
            <w:tcBorders>
              <w:top w:val="single" w:sz="1" w:space="0" w:color="000000"/>
              <w:bottom w:val="single" w:sz="1" w:space="0" w:color="000000"/>
            </w:tcBorders>
          </w:tcPr>
          <w:p>
            <w:pPr>
              <w:spacing w:lineRule="auto"/>
            </w:pPr>
            <w:r>
              <w:rPr>
                <w:b/>
              </w:rPr>
              <w:t xml:space="preserve">Segmentation</w:t>
            </w:r>
          </w:p>
        </w:tc>
        <w:tc>
          <w:tcPr>
            <w:tcBorders>
              <w:top w:val="single" w:sz="1" w:space="0" w:color="000000"/>
              <w:left w:val="single" w:sz="1" w:space="0" w:color="000000"/>
              <w:bottom w:val="single" w:sz="1" w:space="0" w:color="000000"/>
            </w:tcBorders>
          </w:tcPr>
          <w:p>
            <w:pPr>
              <w:spacing w:lineRule="auto"/>
            </w:pPr>
            <w:r>
              <w:rPr/>
              <w:t xml:space="preserve">Semantic (3+1 classes)</w:t>
            </w:r>
          </w:p>
        </w:tc>
        <w:tc>
          <w:tcPr>
            <w:tcBorders>
              <w:top w:val="single" w:sz="1" w:space="0" w:color="000000"/>
              <w:left w:val="single" w:sz="1" w:space="0" w:color="000000"/>
              <w:bottom w:val="single" w:sz="1" w:space="0" w:color="000000"/>
            </w:tcBorders>
          </w:tcPr>
          <w:p>
            <w:pPr>
              <w:spacing w:lineRule="auto"/>
            </w:pPr>
            <w:r>
              <w:rPr/>
              <w:t xml:space="preserve">Semantic + BBox</w:t>
            </w:r>
          </w:p>
        </w:tc>
        <w:tc>
          <w:tcPr>
            <w:tcBorders>
              <w:top w:val="single" w:sz="1" w:space="0" w:color="000000"/>
              <w:left w:val="single" w:sz="1" w:space="0" w:color="000000"/>
              <w:bottom w:val="single" w:sz="1" w:space="0" w:color="000000"/>
            </w:tcBorders>
          </w:tcPr>
          <w:p>
            <w:pPr>
              <w:spacing w:lineRule="auto"/>
            </w:pPr>
            <w:r>
              <w:rPr/>
              <w:t xml:space="preserve">Panoptic (3 stuff + 8 thing)</w:t>
            </w:r>
          </w:p>
        </w:tc>
        <w:tc>
          <w:tcPr>
            <w:tcBorders>
              <w:top w:val="single" w:sz="1" w:space="0" w:color="000000"/>
              <w:left w:val="single" w:sz="1" w:space="0" w:color="000000"/>
              <w:bottom w:val="single" w:sz="1" w:space="0" w:color="000000"/>
            </w:tcBorders>
          </w:tcPr>
          <w:p>
            <w:pPr>
              <w:spacing w:lineRule="auto"/>
            </w:pPr>
            <w:r>
              <w:rPr/>
              <w:t xml:space="preserve">Instance + Semantic + Free-space + Waterline</w:t>
            </w:r>
          </w:p>
        </w:tc>
      </w:tr>
      <w:tr>
        <w:trPr>
          <w:cantSplit/>
        </w:trPr>
        <w:tc>
          <w:tcPr>
            <w:tcBorders>
              <w:top w:val="single" w:sz="1" w:space="0" w:color="000000"/>
              <w:bottom w:val="single" w:sz="1" w:space="0" w:color="000000"/>
            </w:tcBorders>
          </w:tcPr>
          <w:p>
            <w:pPr>
              <w:spacing w:lineRule="auto"/>
            </w:pPr>
            <w:r>
              <w:rPr>
                <w:b/>
              </w:rPr>
              <w:t xml:space="preserve">Environment</w:t>
            </w:r>
          </w:p>
        </w:tc>
        <w:tc>
          <w:tcPr>
            <w:tcBorders>
              <w:top w:val="single" w:sz="1" w:space="0" w:color="000000"/>
              <w:left w:val="single" w:sz="1" w:space="0" w:color="000000"/>
              <w:bottom w:val="single" w:sz="1" w:space="0" w:color="000000"/>
            </w:tcBorders>
          </w:tcPr>
          <w:p>
            <w:pPr>
              <w:spacing w:lineRule="auto"/>
            </w:pPr>
            <w:r>
              <w:rPr/>
              <w:t xml:space="preserve">Sea (coastal)</w:t>
            </w:r>
          </w:p>
        </w:tc>
        <w:tc>
          <w:tcPr>
            <w:tcBorders>
              <w:top w:val="single" w:sz="1" w:space="0" w:color="000000"/>
              <w:left w:val="single" w:sz="1" w:space="0" w:color="000000"/>
              <w:bottom w:val="single" w:sz="1" w:space="0" w:color="000000"/>
            </w:tcBorders>
          </w:tcPr>
          <w:p>
            <w:pPr>
              <w:spacing w:lineRule="auto"/>
            </w:pPr>
            <w:r>
              <w:rPr/>
              <w:t xml:space="preserve">Sea (coastal)</w:t>
            </w:r>
          </w:p>
        </w:tc>
        <w:tc>
          <w:tcPr>
            <w:tcBorders>
              <w:top w:val="single" w:sz="1" w:space="0" w:color="000000"/>
              <w:left w:val="single" w:sz="1" w:space="0" w:color="000000"/>
              <w:bottom w:val="single" w:sz="1" w:space="0" w:color="000000"/>
            </w:tcBorders>
          </w:tcPr>
          <w:p>
            <w:pPr>
              <w:spacing w:lineRule="auto"/>
            </w:pPr>
            <w:r>
              <w:rPr/>
              <w:t xml:space="preserve">Lakes, Rivers, Seas</w:t>
            </w:r>
          </w:p>
        </w:tc>
        <w:tc>
          <w:tcPr>
            <w:tcBorders>
              <w:top w:val="single" w:sz="1" w:space="0" w:color="000000"/>
              <w:left w:val="single" w:sz="1" w:space="0" w:color="000000"/>
              <w:bottom w:val="single" w:sz="1" w:space="0" w:color="000000"/>
            </w:tcBorders>
          </w:tcPr>
          <w:p>
            <w:pPr>
              <w:spacing w:lineRule="auto"/>
            </w:pPr>
            <w:r>
              <w:rPr/>
              <w:t xml:space="preserve">Rivers, Lakes, Canals</w:t>
            </w:r>
          </w:p>
        </w:tc>
      </w:tr>
      <w:tr>
        <w:trPr>
          <w:cantSplit/>
        </w:trPr>
        <w:tc>
          <w:tcPr>
            <w:tcBorders>
              <w:top w:val="single" w:sz="1" w:space="0" w:color="000000"/>
              <w:bottom w:val="single" w:sz="1" w:space="0" w:color="000000"/>
            </w:tcBorders>
          </w:tcPr>
          <w:p>
            <w:pPr>
              <w:spacing w:lineRule="auto"/>
            </w:pPr>
            <w:r>
              <w:rPr>
                <w:b/>
              </w:rPr>
              <w:t xml:space="preserve">Modalities</w:t>
            </w:r>
          </w:p>
        </w:tc>
        <w:tc>
          <w:tcPr>
            <w:tcBorders>
              <w:top w:val="single" w:sz="1" w:space="0" w:color="000000"/>
              <w:left w:val="single" w:sz="1" w:space="0" w:color="000000"/>
              <w:bottom w:val="single" w:sz="1" w:space="0" w:color="000000"/>
            </w:tcBorders>
          </w:tcPr>
          <w:p>
            <w:pPr>
              <w:spacing w:lineRule="auto"/>
            </w:pPr>
            <w:r>
              <w:rPr/>
              <w:t xml:space="preserve">RGB + IMU</w:t>
            </w:r>
          </w:p>
        </w:tc>
        <w:tc>
          <w:tcPr>
            <w:tcBorders>
              <w:top w:val="single" w:sz="1" w:space="0" w:color="000000"/>
              <w:left w:val="single" w:sz="1" w:space="0" w:color="000000"/>
              <w:bottom w:val="single" w:sz="1" w:space="0" w:color="000000"/>
            </w:tcBorders>
          </w:tcPr>
          <w:p>
            <w:pPr>
              <w:spacing w:lineRule="auto"/>
            </w:pPr>
            <w:r>
              <w:rPr/>
              <w:t xml:space="preserve">Stereo RGB + IMU</w:t>
            </w:r>
          </w:p>
        </w:tc>
        <w:tc>
          <w:tcPr>
            <w:tcBorders>
              <w:top w:val="single" w:sz="1" w:space="0" w:color="000000"/>
              <w:left w:val="single" w:sz="1" w:space="0" w:color="000000"/>
              <w:bottom w:val="single" w:sz="1" w:space="0" w:color="000000"/>
            </w:tcBorders>
          </w:tcPr>
          <w:p>
            <w:pPr>
              <w:spacing w:lineRule="auto"/>
            </w:pPr>
            <w:r>
              <w:rPr/>
              <w:t xml:space="preserve">RGB</w:t>
            </w:r>
          </w:p>
        </w:tc>
        <w:tc>
          <w:tcPr>
            <w:tcBorders>
              <w:top w:val="single" w:sz="1" w:space="0" w:color="000000"/>
              <w:left w:val="single" w:sz="1" w:space="0" w:color="000000"/>
              <w:bottom w:val="single" w:sz="1" w:space="0" w:color="000000"/>
            </w:tcBorders>
          </w:tcPr>
          <w:p>
            <w:pPr>
              <w:spacing w:lineRule="auto"/>
            </w:pPr>
            <w:r>
              <w:rPr/>
              <w:t xml:space="preserve">4D Radar + Camera + GPS + IMU</w:t>
            </w:r>
          </w:p>
        </w:tc>
      </w:tr>
      <w:tr>
        <w:trPr>
          <w:cantSplit/>
        </w:trPr>
        <w:tc>
          <w:tcPr>
            <w:tcBorders>
              <w:top w:val="single" w:sz="1" w:space="0" w:color="000000"/>
              <w:bottom w:val="single" w:sz="1" w:space="0" w:color="000000"/>
            </w:tcBorders>
          </w:tcPr>
          <w:p>
            <w:pPr>
              <w:spacing w:lineRule="auto"/>
            </w:pPr>
            <w:r>
              <w:rPr>
                <w:b/>
              </w:rPr>
              <w:t xml:space="preserve">Edge handling</w:t>
            </w:r>
          </w:p>
        </w:tc>
        <w:tc>
          <w:tcPr>
            <w:tcBorders>
              <w:top w:val="single" w:sz="1" w:space="0" w:color="000000"/>
              <w:left w:val="single" w:sz="1" w:space="0" w:color="000000"/>
              <w:bottom w:val="single" w:sz="1" w:space="0" w:color="000000"/>
            </w:tcBorders>
          </w:tcPr>
          <w:p>
            <w:pPr>
              <w:spacing w:lineRule="auto"/>
            </w:pPr>
            <w:r>
              <w:rPr/>
              <w:t xml:space="preserve">Unknown label at edges</w:t>
            </w:r>
          </w:p>
        </w:tc>
        <w:tc>
          <w:tcPr>
            <w:tcBorders>
              <w:top w:val="single" w:sz="1" w:space="0" w:color="000000"/>
              <w:left w:val="single" w:sz="1" w:space="0" w:color="000000"/>
              <w:bottom w:val="single" w:sz="1" w:space="0" w:color="000000"/>
            </w:tcBorders>
          </w:tcPr>
          <w:p>
            <w:pPr>
              <w:spacing w:lineRule="auto"/>
            </w:pPr>
            <w:r>
              <w:rPr/>
              <w:t xml:space="preserve">Polylines for water edge</w:t>
            </w:r>
          </w:p>
        </w:tc>
        <w:tc>
          <w:tcPr>
            <w:tcBorders>
              <w:top w:val="single" w:sz="1" w:space="0" w:color="000000"/>
              <w:left w:val="single" w:sz="1" w:space="0" w:color="000000"/>
              <w:bottom w:val="single" w:sz="1" w:space="0" w:color="000000"/>
            </w:tcBorders>
          </w:tcPr>
          <w:p>
            <w:pPr>
              <w:spacing w:lineRule="auto"/>
            </w:pPr>
            <w:r>
              <w:rPr/>
              <w:t xml:space="preserve">Ignore class + water-edge metric</w:t>
            </w:r>
          </w:p>
        </w:tc>
        <w:tc>
          <w:tcPr>
            <w:tcBorders>
              <w:top w:val="single" w:sz="1" w:space="0" w:color="000000"/>
              <w:left w:val="single" w:sz="1" w:space="0" w:color="000000"/>
              <w:bottom w:val="single" w:sz="1" w:space="0" w:color="000000"/>
            </w:tcBorders>
          </w:tcPr>
          <w:p>
            <w:pPr>
              <w:spacing w:lineRule="auto"/>
            </w:pPr>
            <w:r>
              <w:rPr/>
              <w:t xml:space="preserve">Waterline segmentation task</w:t>
            </w:r>
          </w:p>
        </w:tc>
      </w:tr>
      <w:tr>
        <w:trPr>
          <w:cantSplit/>
        </w:trPr>
        <w:tc>
          <w:tcPr>
            <w:tcBorders>
              <w:top w:val="single" w:sz="1" w:space="0" w:color="000000"/>
              <w:bottom w:val="single" w:sz="1" w:space="0" w:color="000000"/>
            </w:tcBorders>
          </w:tcPr>
          <w:p>
            <w:pPr>
              <w:spacing w:lineRule="auto"/>
            </w:pPr>
            <w:r>
              <w:rPr>
                <w:b/>
              </w:rPr>
              <w:t xml:space="preserve">Weather attr.</w:t>
            </w:r>
          </w:p>
        </w:tc>
        <w:tc>
          <w:tcPr>
            <w:tcBorders>
              <w:top w:val="single" w:sz="1" w:space="0" w:color="000000"/>
              <w:left w:val="single" w:sz="1" w:space="0" w:color="000000"/>
              <w:bottom w:val="single" w:sz="1" w:space="0" w:color="000000"/>
            </w:tcBorders>
          </w:tcPr>
          <w:p>
            <w:pPr>
              <w:spacing w:lineRule="auto"/>
            </w:pPr>
            <w:r>
              <w:rPr/>
              <w:t xml:space="preserve">Implicit variety</w:t>
            </w:r>
          </w:p>
        </w:tc>
        <w:tc>
          <w:tcPr>
            <w:tcBorders>
              <w:top w:val="single" w:sz="1" w:space="0" w:color="000000"/>
              <w:left w:val="single" w:sz="1" w:space="0" w:color="000000"/>
              <w:bottom w:val="single" w:sz="1" w:space="0" w:color="000000"/>
            </w:tcBorders>
          </w:tcPr>
          <w:p>
            <w:pPr>
              <w:spacing w:lineRule="auto"/>
            </w:pPr>
            <w:r>
              <w:rPr/>
              <w:t xml:space="preserve">Limited</w:t>
            </w:r>
          </w:p>
        </w:tc>
        <w:tc>
          <w:tcPr>
            <w:tcBorders>
              <w:top w:val="single" w:sz="1" w:space="0" w:color="000000"/>
              <w:left w:val="single" w:sz="1" w:space="0" w:color="000000"/>
              <w:bottom w:val="single" w:sz="1" w:space="0" w:color="000000"/>
            </w:tcBorders>
          </w:tcPr>
          <w:p>
            <w:pPr>
              <w:spacing w:lineRule="auto"/>
            </w:pPr>
            <w:r>
              <w:rPr/>
              <w:t xml:space="preserve">19 global attributes (fog, rain, glitter, etc.)</w:t>
            </w:r>
          </w:p>
        </w:tc>
        <w:tc>
          <w:tcPr>
            <w:tcBorders>
              <w:top w:val="single" w:sz="1" w:space="0" w:color="000000"/>
              <w:left w:val="single" w:sz="1" w:space="0" w:color="000000"/>
              <w:bottom w:val="single" w:sz="1" w:space="0" w:color="000000"/>
            </w:tcBorders>
          </w:tcPr>
          <w:p>
            <w:pPr>
              <w:spacing w:lineRule="auto"/>
            </w:pPr>
            <w:r>
              <w:rPr/>
              <w:t xml:space="preserve">Time/lighting/weather/waterway attributes</w:t>
            </w:r>
          </w:p>
        </w:tc>
      </w:tr>
      <w:tr>
        <w:trPr>
          <w:cantSplit/>
        </w:trPr>
        <w:tc>
          <w:tcPr>
            <w:tcBorders>
              <w:top w:val="single" w:sz="1" w:space="0" w:color="000000"/>
              <w:bottom w:val="single" w:sz="1" w:space="0" w:color="000000"/>
            </w:tcBorders>
          </w:tcPr>
          <w:p>
            <w:pPr>
              <w:spacing w:lineRule="auto"/>
            </w:pPr>
            <w:r>
              <w:rPr>
                <w:b/>
              </w:rPr>
              <w:t xml:space="preserve">Reflections</w:t>
            </w:r>
          </w:p>
        </w:tc>
        <w:tc>
          <w:tcPr>
            <w:tcBorders>
              <w:top w:val="single" w:sz="1" w:space="0" w:color="000000"/>
              <w:left w:val="single" w:sz="1" w:space="0" w:color="000000"/>
              <w:bottom w:val="single" w:sz="1" w:space="0" w:color="000000"/>
            </w:tcBorders>
          </w:tcPr>
          <w:p>
            <w:pPr>
              <w:spacing w:lineRule="auto"/>
            </w:pPr>
            <w:r>
              <w:rPr/>
              <w:t xml:space="preserve">Not explicit</w:t>
            </w:r>
          </w:p>
        </w:tc>
        <w:tc>
          <w:tcPr>
            <w:tcBorders>
              <w:top w:val="single" w:sz="1" w:space="0" w:color="000000"/>
              <w:left w:val="single" w:sz="1" w:space="0" w:color="000000"/>
              <w:bottom w:val="single" w:sz="1" w:space="0" w:color="000000"/>
            </w:tcBorders>
          </w:tcPr>
          <w:p>
            <w:pPr>
              <w:spacing w:lineRule="auto"/>
            </w:pPr>
            <w:r>
              <w:rPr/>
              <w:t xml:space="preserve">Glitter annotation</w:t>
            </w:r>
          </w:p>
        </w:tc>
        <w:tc>
          <w:tcPr>
            <w:tcBorders>
              <w:top w:val="single" w:sz="1" w:space="0" w:color="000000"/>
              <w:left w:val="single" w:sz="1" w:space="0" w:color="000000"/>
              <w:bottom w:val="single" w:sz="1" w:space="0" w:color="000000"/>
            </w:tcBorders>
          </w:tcPr>
          <w:p>
            <w:pPr>
              <w:spacing w:lineRule="auto"/>
            </w:pPr>
            <w:r>
              <w:rPr/>
              <w:t xml:space="preserve">3-level reflection labels</w:t>
            </w:r>
          </w:p>
        </w:tc>
        <w:tc>
          <w:tcPr>
            <w:tcBorders>
              <w:top w:val="single" w:sz="1" w:space="0" w:color="000000"/>
              <w:left w:val="single" w:sz="1" w:space="0" w:color="000000"/>
              <w:bottom w:val="single" w:sz="1" w:space="0" w:color="000000"/>
            </w:tcBorders>
          </w:tcPr>
          <w:p>
            <w:pPr>
              <w:spacing w:lineRule="auto"/>
            </w:pPr>
            <w:r>
              <w:rPr/>
              <w:t xml:space="preserve">Implicit via lighting attributes</w:t>
            </w:r>
          </w:p>
        </w:tc>
      </w:tr>
      <w:tr>
        <w:trPr>
          <w:cantSplit/>
        </w:trPr>
        <w:tc>
          <w:tcPr>
            <w:tcBorders>
              <w:top w:val="single" w:sz="1" w:space="0" w:color="000000"/>
              <w:bottom w:val="single" w:sz="1" w:space="0" w:color="000000"/>
            </w:tcBorders>
          </w:tcPr>
          <w:p>
            <w:pPr>
              <w:spacing w:lineRule="auto"/>
            </w:pPr>
            <w:r>
              <w:rPr>
                <w:b/>
              </w:rPr>
              <w:t xml:space="preserve">Weak/semi-auto</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t xml:space="preserve">No (but used model-assisted QC)</w:t>
            </w:r>
          </w:p>
        </w:tc>
        <w:tc>
          <w:tcPr>
            <w:tcBorders>
              <w:top w:val="single" w:sz="1" w:space="0" w:color="000000"/>
              <w:left w:val="single" w:sz="1" w:space="0" w:color="000000"/>
              <w:bottom w:val="single" w:sz="1" w:space="0" w:color="000000"/>
            </w:tcBorders>
          </w:tcPr>
          <w:p>
            <w:pPr>
              <w:spacing w:lineRule="auto"/>
            </w:pPr>
            <w:r>
              <w:rPr/>
              <w:t xml:space="preserve">No</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key_cross_domain_takeaways_for_ar_7f5288"/>
      <w:r>
        <w:rPr>
          <w:b/>
          <w:sz w:val="42"/>
        </w:rPr>
        <w:t xml:space="preserve">Key Cross-Domain Takeaways for Arctic USV Annotation</w:t>
      </w:r>
      <w:bookmarkEnd w:id="41"/>
    </w:p>
    <w:p>
      <w:pPr>
        <w:numPr>
          <w:ilvl w:val="0"/>
          <w:numId w:val="16"/>
        </w:numPr>
        <w:spacing w:after="210" w:lineRule="auto"/>
      </w:pPr>
      <w:r>
        <w:rPr>
          <w:b/>
        </w:rPr>
        <w:t xml:space="preserve">Edge uncertainty labeling</w:t>
      </w:r>
      <w:r>
        <w:rPr>
          <w:rFonts w:eastAsia="Georgia" w:cs="Georgia" w:ascii="Georgia" w:hAnsi="Georgia"/>
        </w:rPr>
        <w:t xml:space="preserve"> — All major maritime datasets (MaSTr1325, LaRS, ACDC) use an </w:t>
      </w:r>
      <w:r>
        <w:rPr>
          <w:b/>
        </w:rPr>
        <w:t xml:space="preserve">ignore/void/unknown</w:t>
      </w:r>
      <w:r>
        <w:rPr>
          <w:rFonts w:eastAsia="Georgia" w:cs="Georgia" w:ascii="Georgia" w:hAnsi="Georgia"/>
        </w:rPr>
        <w:t xml:space="preserve"> class for uncertain boundary regions rather than forcing a label. This is the recommended approach for ice–water boundaries in Arctic conditions.</w:t>
      </w:r>
    </w:p>
    <w:p>
      <w:pPr>
        <w:numPr>
          <w:ilvl w:val="0"/>
          <w:numId w:val="16"/>
        </w:numPr>
        <w:spacing w:after="210" w:lineRule="auto"/>
      </w:pPr>
      <w:r>
        <w:rPr>
          <w:b/>
        </w:rPr>
        <w:t xml:space="preserve">Fog/visibility handling</w:t>
      </w:r>
      <w:r>
        <w:rPr>
          <w:rFonts w:eastAsia="Georgia" w:cs="Georgia" w:ascii="Georgia" w:hAnsi="Georgia"/>
        </w:rPr>
        <w:t xml:space="preserve"> — The ACDC and Foggy Zurich protocols establish that objects whose class is uncertain due to weather degradation should be assigned a </w:t>
      </w:r>
      <w:r>
        <w:rPr>
          <w:b/>
        </w:rPr>
        <w:t xml:space="preserve">void label</w:t>
      </w:r>
      <w:r>
        <w:rPr/>
        <w:t xml:space="preserve"> and excluded from training. Do not expand masks into fog-obscured regions.</w:t>
      </w:r>
    </w:p>
    <w:p>
      <w:pPr>
        <w:numPr>
          <w:ilvl w:val="0"/>
          <w:numId w:val="16"/>
        </w:numPr>
        <w:spacing w:after="210" w:lineRule="auto"/>
      </w:pPr>
      <w:r>
        <w:rPr>
          <w:b/>
        </w:rPr>
        <w:t xml:space="preserve">Reflections are critical</w:t>
      </w:r>
      <w:r>
        <w:rPr>
          <w:rFonts w:eastAsia="Georgia" w:cs="Georgia" w:ascii="Georgia" w:hAnsi="Georgia"/>
        </w:rPr>
        <w:t xml:space="preserve"> — LaRS demonstrates that even moderate reflections degrade F1 scores significantly. Arctic environments with low sun angles and calm water will exacerbate this. Explicit reflection-level attributes should be part of any annotation protocol.</w:t>
      </w:r>
    </w:p>
    <w:p>
      <w:pPr>
        <w:numPr>
          <w:ilvl w:val="0"/>
          <w:numId w:val="16"/>
        </w:numPr>
        <w:spacing w:after="210" w:lineRule="auto"/>
      </w:pPr>
      <w:r>
        <w:rPr>
          <w:b/>
        </w:rPr>
        <w:t xml:space="preserve">Multi-modal sensing</w:t>
      </w:r>
      <w:r>
        <w:rPr>
          <w:rFonts w:eastAsia="Georgia" w:cs="Georgia" w:ascii="Georgia" w:hAnsi="Georgia"/>
        </w:rPr>
        <w:t xml:space="preserve"> — WaterScenes and MULTIAQUA demonstrate that camera-only approaches degrade in adverse conditions. 4D radar–camera fusion and thermal imaging provide robustness for night, fog, and snow conditions typical of Arctic rivers.</w:t>
      </w:r>
    </w:p>
    <w:p>
      <w:pPr>
        <w:numPr>
          <w:ilvl w:val="0"/>
          <w:numId w:val="16"/>
        </w:numPr>
        <w:spacing w:after="210" w:lineRule="auto"/>
      </w:pPr>
      <w:r>
        <w:rPr>
          <w:b/>
        </w:rPr>
        <w:t xml:space="preserve">Weak supervision is viable</w:t>
      </w:r>
      <w:r>
        <w:rPr>
          <w:rFonts w:eastAsia="Georgia" w:cs="Georgia" w:ascii="Georgia" w:hAnsi="Georgia"/>
        </w:rPr>
        <w:t xml:space="preserve"> — The SLR approach achieves competitive results using only water edges, horizon, and bounding boxes, reducing annotation cost by ~10x. This is highly relevant for resource-constrained Arctic data collection campaigns.</w:t>
      </w:r>
    </w:p>
    <w:p>
      <w:pPr>
        <w:numPr>
          <w:ilvl w:val="0"/>
          <w:numId w:val="16"/>
        </w:numPr>
        <w:spacing w:after="210" w:lineRule="auto"/>
      </w:pPr>
      <w:r>
        <w:rPr>
          <w:b/>
        </w:rPr>
        <w:t xml:space="preserve">Safety metrics matter</w:t>
      </w:r>
      <w:r>
        <w:rPr>
          <w:rFonts w:eastAsia="Georgia" w:cs="Georgia" w:ascii="Georgia" w:hAnsi="Georgia"/>
        </w:rPr>
        <w:t xml:space="preserve"> — IDD-AW's Safe mIoU and ACDC's uncertainty-aware segmentation provide frameworks for penalizing dangerous misclassifications, directly applicable to USV collision avoidance where false negatives (missing an ice floe) are more dangerous than false positives.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rints.vicos.si/publications/373" TargetMode="External"/><Relationship Id="rId6" Type="http://schemas.openxmlformats.org/officeDocument/2006/relationships/hyperlink" Target="https://www.vicos.si/resources/mastr1325/%5B2%5D" TargetMode="External"/><Relationship Id="rId7" Type="http://schemas.openxmlformats.org/officeDocument/2006/relationships/hyperlink" Target="https://www.vicos.si/resources/modd/%5B6%5D" TargetMode="External"/><Relationship Id="rId8" Type="http://schemas.openxmlformats.org/officeDocument/2006/relationships/hyperlink" Target="https://arxiv.org/abs/1802.07956" TargetMode="External"/><Relationship Id="rId9" Type="http://schemas.openxmlformats.org/officeDocument/2006/relationships/hyperlink" Target="https://openaccess.thecvf.com/content/ICCV2023/papers/Zust_LaRS_A_Diverse_Panoptic_Maritime_Obstacle_Detection_Dataset_and_Benchmark_ICCV_2023_paper.pdf" TargetMode="External"/><Relationship Id="rId10" Type="http://schemas.openxmlformats.org/officeDocument/2006/relationships/hyperlink" Target="https://lojzezust.github.io/lars-dataset%5B10%5D" TargetMode="External"/><Relationship Id="rId11" Type="http://schemas.openxmlformats.org/officeDocument/2006/relationships/hyperlink" Target="https://arxiv.org/abs/2307.06505%5B14%5D" TargetMode="External"/><Relationship Id="rId12" Type="http://schemas.openxmlformats.org/officeDocument/2006/relationships/hyperlink" Target="https://waterscenes.github.io" TargetMode="External"/><Relationship Id="rId13" Type="http://schemas.openxmlformats.org/officeDocument/2006/relationships/hyperlink" Target="https://www.mdpi.com/1424-8220/22/23/9139/pdf%5B20%5D" TargetMode="External"/><Relationship Id="rId14" Type="http://schemas.openxmlformats.org/officeDocument/2006/relationships/hyperlink" Target="https://lup.lub.lu.se/student-papers/record/9064600/file/9064601.pdf" TargetMode="External"/><Relationship Id="rId15" Type="http://schemas.openxmlformats.org/officeDocument/2006/relationships/hyperlink" Target="https://arxiv.org/abs/2411.17155%5B25%5D" TargetMode="External"/><Relationship Id="rId16" Type="http://schemas.openxmlformats.org/officeDocument/2006/relationships/hyperlink" Target="https://www.frontiersin.org/articles/10.3389/fmars.2021.640697/pdf%5B31%5D" TargetMode="External"/><Relationship Id="rId17" Type="http://schemas.openxmlformats.org/officeDocument/2006/relationships/hyperlink" Target="https://arxiv.org/pdf/1708.07819.pdf%5B46%5D" TargetMode="External"/><Relationship Id="rId18" Type="http://schemas.openxmlformats.org/officeDocument/2006/relationships/hyperlink" Target="https://arxiv.org/pdf/2105.13688.pdf%5B53%5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2026-02-17T10:52:24.549Z</dcterms:created>
  <dcterms:modified xsi:type="dcterms:W3CDTF">2026-02-17T10:52:24.549Z</dcterms:modified>
</cp:coreProperties>
</file>