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5BF9442" w:rsidR="00CF6DAD" w:rsidRPr="00CF6DAD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29D4C52" w14:textId="2BBD47B6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502EDB50" w:rsidR="00CF6DAD" w:rsidRPr="00CF6DAD" w:rsidRDefault="00AA7826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B53AE21" wp14:editId="6EABBA28">
            <wp:simplePos x="0" y="0"/>
            <wp:positionH relativeFrom="column">
              <wp:posOffset>480695</wp:posOffset>
            </wp:positionH>
            <wp:positionV relativeFrom="paragraph">
              <wp:posOffset>2886710</wp:posOffset>
            </wp:positionV>
            <wp:extent cx="5151120" cy="2132330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Изготовление образцов производилось выращиванием гетероструктур AlGaAs/GaAs с помощью молекулярно-лучевой эпитаксии.  При сближении полупроводников, образующийся пространственный заряд приводит к изгибу электронных зон. На полупроводниковой гетерогранице появляется область с пиком электронной плотности, а движение электронов перпендикулярно границе запрещено энергетическим барьером. Такая система называется двумерным электронным газом (ДЭГ). Двумерная концентрация электронов в ДЭГ исследуемых образцов была измерена методом ван дер Пау и составляла (!). </w:t>
      </w:r>
    </w:p>
    <w:p w14:paraId="0411FE61" w14:textId="77A35633" w:rsidR="00CF6DAD" w:rsidRPr="00CF6DAD" w:rsidRDefault="00AA7826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9CACC9" wp14:editId="41854180">
            <wp:simplePos x="0" y="0"/>
            <wp:positionH relativeFrom="margin">
              <wp:posOffset>3681095</wp:posOffset>
            </wp:positionH>
            <wp:positionV relativeFrom="margin">
              <wp:posOffset>6022340</wp:posOffset>
            </wp:positionV>
            <wp:extent cx="2438400" cy="2419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геометрии в ДЭГ использовался метод фотолитографии.  Гетероструктура была разбита на квадратные образцы со стороной 2,5 мм. Каждый образец состоял из 12 проводящих областей, сужающихся к центральной области. В центре образца формировалась геометрия, для изучения магнетосопротивления. На рисунке () показана геометрия одного из изготовленных образцов. Белые области на рисунке - двумерный электронный газ. Такая геометрия подходит для различных измерений: продольного сопротивления,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холловского сопротивления, нелокального сопротивления. Ширина контактов составляла от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56AB3853" wp14:editId="0820F717">
            <wp:simplePos x="0" y="0"/>
            <wp:positionH relativeFrom="margin">
              <wp:posOffset>3576320</wp:posOffset>
            </wp:positionH>
            <wp:positionV relativeFrom="margin">
              <wp:posOffset>238125</wp:posOffset>
            </wp:positionV>
            <wp:extent cx="2438400" cy="24479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2 до 6 мкм.  Характерное продольное сопротивление между парой контактов составляло 1 кОм. </w:t>
      </w:r>
    </w:p>
    <w:p w14:paraId="41587228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37B4BA8E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При проведении эксперимента, серии данных были записаны при различных температурах от 1,6 до 80 К. </w:t>
      </w:r>
    </w:p>
    <w:p w14:paraId="2B659A1A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Установка позволяла проводить измерения магнетосопротивления в магнитных полях до 12 тесла. Прикладываемое переменное напряжение составляло 1 В.  Отклик в виде тока измерялся методом синхронного детектирования.</w:t>
      </w:r>
    </w:p>
    <w:p w14:paraId="73D599FB" w14:textId="07E5C06D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Баллистические траектории</w:t>
      </w:r>
    </w:p>
    <w:p w14:paraId="2F228796" w14:textId="16840F5D" w:rsidR="00407049" w:rsidRPr="00407049" w:rsidRDefault="00407049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7049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A97B496" wp14:editId="28A53593">
            <wp:simplePos x="0" y="0"/>
            <wp:positionH relativeFrom="column">
              <wp:posOffset>723900</wp:posOffset>
            </wp:positionH>
            <wp:positionV relativeFrom="paragraph">
              <wp:posOffset>1024890</wp:posOffset>
            </wp:positionV>
            <wp:extent cx="4671695" cy="2851150"/>
            <wp:effectExtent l="0" t="0" r="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Эффекты, связанные с магнитной фокусировкой, обусловлены наличием баллистических траекторий между контактами. В качестве примера рассмотрим траектории, возникающие в геометрии в виде холловских мостиков.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DFA485" w14:textId="08272FC5" w:rsidR="004C382E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между контактами и ширина контактов совпадают и равны 2 мкм. Также, для определенности, будем рассматривать электроны, вылетающие из контакта под прямым углом.</w:t>
      </w:r>
    </w:p>
    <w:p w14:paraId="74E21EB0" w14:textId="574609DE" w:rsidR="00AF34C7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переменное напряжение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прикладывается к контактам 1-2, а ток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снимается с правых двух контактов 3-4.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отсутствии магнитного поля ток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отсутствует, так как ток между контактами 1-2 никак не влияет на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 контакты 3-4. При включении магнитного поля, электроны начинают двигаться по круговым орбитам и при некоторой величине поля попадают в 3-й контакт. Необходимо заметить, что в действительности на движение электронов влияет наличие верхней стенки, ограничивающее возможные траектории по диаметру.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дальнейшем увеличении магнитного поля диаметры будут уменьшаться и при некоторой величине поля диаметр станет минимально возможным для беспрепятственного пролета электрона между контактами, то есть равным </w:t>
      </w:r>
      <w:r w:rsidR="00F05901" w:rsidRPr="00F05901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0E4E6A66" wp14:editId="75DF8C7E">
            <wp:simplePos x="0" y="0"/>
            <wp:positionH relativeFrom="column">
              <wp:posOffset>598805</wp:posOffset>
            </wp:positionH>
            <wp:positionV relativeFrom="paragraph">
              <wp:posOffset>1396365</wp:posOffset>
            </wp:positionV>
            <wp:extent cx="456819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расстоянию между контактами. </w:t>
      </w:r>
    </w:p>
    <w:p w14:paraId="2ACBB836" w14:textId="6B3F2BE8" w:rsidR="00F05901" w:rsidRDefault="00F05901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вклады </w:t>
      </w:r>
      <w:r>
        <w:rPr>
          <w:rFonts w:ascii="Times New Roman" w:eastAsiaTheme="minorEastAsia" w:hAnsi="Times New Roman" w:cs="Times New Roman"/>
          <w:sz w:val="28"/>
          <w:szCs w:val="28"/>
        </w:rPr>
        <w:t>вышеописанных траекторий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суммарный ток. Как видно из рисунка, траектория с минимально возможным диаметром всего одна</w:t>
      </w:r>
      <w:r w:rsidRPr="00F0590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от края одного контакта, до края другого. Таким образом ее вклад минимален. Траектория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диаметр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ом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4 мкм. (расстояние между центрами двух контактов)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ет </w:t>
      </w:r>
      <w:r>
        <w:rPr>
          <w:rFonts w:ascii="Times New Roman" w:eastAsiaTheme="minorEastAsia" w:hAnsi="Times New Roman" w:cs="Times New Roman"/>
          <w:sz w:val="28"/>
          <w:szCs w:val="28"/>
        </w:rPr>
        <w:t>наибольший вклад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, так как электроны с такой траекторией доберутся до другого контакта вне зависимости от исходной координаты вылета. Траектории с большим диаметром могут дать вклад в ток лишь с учетом рассеяния на стенках.</w:t>
      </w:r>
    </w:p>
    <w:p w14:paraId="71844536" w14:textId="08122131" w:rsidR="00831DAC" w:rsidRPr="00F05901" w:rsidRDefault="00831DAC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описанных рассуждений можно ожидать некоторый пик в  магнетосопротивлении при значении магнитного поля соответствующего траектории с диаметром 4 мкм.</w:t>
      </w:r>
      <w:bookmarkStart w:id="4" w:name="_GoBack"/>
      <w:bookmarkEnd w:id="4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sectPr w:rsidR="00831DAC" w:rsidRPr="00F05901" w:rsidSect="00CF6DAD">
      <w:headerReference w:type="default" r:id="rId13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529F1" w14:textId="77777777" w:rsidR="006647E3" w:rsidRDefault="006647E3" w:rsidP="00564FFB">
      <w:pPr>
        <w:spacing w:after="0" w:line="240" w:lineRule="auto"/>
      </w:pPr>
      <w:r>
        <w:separator/>
      </w:r>
    </w:p>
  </w:endnote>
  <w:endnote w:type="continuationSeparator" w:id="0">
    <w:p w14:paraId="00D3B5EC" w14:textId="77777777" w:rsidR="006647E3" w:rsidRDefault="006647E3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AF1A9" w14:textId="77777777" w:rsidR="006647E3" w:rsidRDefault="006647E3" w:rsidP="00564FFB">
      <w:pPr>
        <w:spacing w:after="0" w:line="240" w:lineRule="auto"/>
      </w:pPr>
      <w:r>
        <w:separator/>
      </w:r>
    </w:p>
  </w:footnote>
  <w:footnote w:type="continuationSeparator" w:id="0">
    <w:p w14:paraId="6F15BB7B" w14:textId="77777777" w:rsidR="006647E3" w:rsidRDefault="006647E3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hybridMultilevel"/>
    <w:tmpl w:val="00E48F22"/>
    <w:lvl w:ilvl="0" w:tplc="59A80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C350D"/>
    <w:rsid w:val="001C3824"/>
    <w:rsid w:val="001C64CE"/>
    <w:rsid w:val="001D0292"/>
    <w:rsid w:val="00202855"/>
    <w:rsid w:val="00203FCA"/>
    <w:rsid w:val="00205262"/>
    <w:rsid w:val="00245998"/>
    <w:rsid w:val="00264C73"/>
    <w:rsid w:val="002B5236"/>
    <w:rsid w:val="002D79C9"/>
    <w:rsid w:val="002E5308"/>
    <w:rsid w:val="002E64E7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C360D"/>
    <w:rsid w:val="003C5B5D"/>
    <w:rsid w:val="003D5165"/>
    <w:rsid w:val="003E2E6D"/>
    <w:rsid w:val="003E669A"/>
    <w:rsid w:val="00402D1D"/>
    <w:rsid w:val="00407049"/>
    <w:rsid w:val="00413A9D"/>
    <w:rsid w:val="004152B0"/>
    <w:rsid w:val="00423E80"/>
    <w:rsid w:val="00427E25"/>
    <w:rsid w:val="0044151C"/>
    <w:rsid w:val="00465D1F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C6E60"/>
    <w:rsid w:val="006D24D9"/>
    <w:rsid w:val="006D4F77"/>
    <w:rsid w:val="006E1E87"/>
    <w:rsid w:val="006E32CE"/>
    <w:rsid w:val="007017B0"/>
    <w:rsid w:val="00761A41"/>
    <w:rsid w:val="00765F28"/>
    <w:rsid w:val="007716B7"/>
    <w:rsid w:val="00793DBE"/>
    <w:rsid w:val="00794524"/>
    <w:rsid w:val="007B01A6"/>
    <w:rsid w:val="007C5576"/>
    <w:rsid w:val="007D1F6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6955"/>
    <w:rsid w:val="00915C4E"/>
    <w:rsid w:val="009338EB"/>
    <w:rsid w:val="00945757"/>
    <w:rsid w:val="0095335E"/>
    <w:rsid w:val="00955640"/>
    <w:rsid w:val="00967FB2"/>
    <w:rsid w:val="00973CA6"/>
    <w:rsid w:val="00980CD2"/>
    <w:rsid w:val="009A5527"/>
    <w:rsid w:val="009A7582"/>
    <w:rsid w:val="009E40F3"/>
    <w:rsid w:val="009F2DE2"/>
    <w:rsid w:val="00A04CB5"/>
    <w:rsid w:val="00A24E21"/>
    <w:rsid w:val="00A339C4"/>
    <w:rsid w:val="00A439ED"/>
    <w:rsid w:val="00A46BAE"/>
    <w:rsid w:val="00A826AE"/>
    <w:rsid w:val="00A82C1D"/>
    <w:rsid w:val="00A87556"/>
    <w:rsid w:val="00A91AAF"/>
    <w:rsid w:val="00A94C69"/>
    <w:rsid w:val="00A94E81"/>
    <w:rsid w:val="00AA35AA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C20762"/>
    <w:rsid w:val="00C229CE"/>
    <w:rsid w:val="00C31388"/>
    <w:rsid w:val="00C566F2"/>
    <w:rsid w:val="00CB1D36"/>
    <w:rsid w:val="00CC7444"/>
    <w:rsid w:val="00CE338A"/>
    <w:rsid w:val="00CE777A"/>
    <w:rsid w:val="00CF6DAD"/>
    <w:rsid w:val="00D055B0"/>
    <w:rsid w:val="00D06315"/>
    <w:rsid w:val="00D22395"/>
    <w:rsid w:val="00D30E1E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E535E"/>
    <w:rsid w:val="00EF53B1"/>
    <w:rsid w:val="00F05901"/>
    <w:rsid w:val="00F20CA9"/>
    <w:rsid w:val="00F30DD7"/>
    <w:rsid w:val="00F45F9F"/>
    <w:rsid w:val="00F464E2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2E32E-AA25-4698-BA68-84D66206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10185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8</cp:revision>
  <dcterms:created xsi:type="dcterms:W3CDTF">2020-12-11T15:31:00Z</dcterms:created>
  <dcterms:modified xsi:type="dcterms:W3CDTF">2023-03-29T09:19:00Z</dcterms:modified>
</cp:coreProperties>
</file>