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2DCD57AF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>Работа посвящена изучению магнитной фокусировки</w:t>
      </w:r>
      <w:r w:rsidR="00F20F00">
        <w:rPr>
          <w:rFonts w:ascii="Times New Roman" w:eastAsiaTheme="minorEastAsia" w:hAnsi="Times New Roman" w:cs="Times New Roman"/>
          <w:sz w:val="28"/>
          <w:szCs w:val="28"/>
        </w:rPr>
        <w:t xml:space="preserve"> в режиме баллистического транспорта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изучаемых образцах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наличие пиков в магнетосопротивлении и их температурную зависимость. На эту зависимость сильное влияние оказывает электрон-электронное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электрон-электронное взаимодействие.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измерений магнетосопротивления</w:t>
      </w:r>
      <w:r w:rsidR="0040454D" w:rsidRPr="0040454D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14190" w14:textId="73983B5E" w:rsidR="00F20F00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 xml:space="preserve">Целью данной работы являлось наблюдение фокусировочного пика в магнетосопротивлении и изучение температурной зависимости его высоты как в </w:t>
      </w:r>
      <w:proofErr w:type="spellStart"/>
      <w:r w:rsidRPr="009D71BA">
        <w:rPr>
          <w:rFonts w:ascii="Times New Roman" w:eastAsiaTheme="minorEastAsia" w:hAnsi="Times New Roman" w:cs="Times New Roman"/>
          <w:sz w:val="28"/>
          <w:szCs w:val="28"/>
        </w:rPr>
        <w:t>неподвешенных</w:t>
      </w:r>
      <w:proofErr w:type="spellEnd"/>
      <w:r w:rsidRPr="009D71BA">
        <w:rPr>
          <w:rFonts w:ascii="Times New Roman" w:eastAsiaTheme="minorEastAsia" w:hAnsi="Times New Roman" w:cs="Times New Roman"/>
          <w:sz w:val="28"/>
          <w:szCs w:val="28"/>
        </w:rPr>
        <w:t>, так и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подвешенных образцах. Для достижения цели работы, были поставлены следующие задачи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2A6F79" w14:textId="41106AD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</w:p>
    <w:p w14:paraId="2DE0D3BD" w14:textId="14102BF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</w:p>
    <w:p w14:paraId="4B74A150" w14:textId="1757F75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Познакомиться со строением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</w:p>
    <w:p w14:paraId="7E1835ED" w14:textId="5540985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</w:p>
    <w:p w14:paraId="32E57EE1" w14:textId="60611751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</w:p>
    <w:p w14:paraId="07C856D8" w14:textId="7FA3F256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</w:p>
    <w:p w14:paraId="4F94BB63" w14:textId="74F8B4B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</w:p>
    <w:p w14:paraId="043A711C" w14:textId="7424C349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</w:p>
    <w:p w14:paraId="55BC98F4" w14:textId="49E423C9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3CC8300D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Двумерным электронным газом (ДЭГ) называется область пространства, в которой электроны движутся свободно только в двух направлениях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, в третьем направлении движение электронов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Обычно ДЭГ формируется на основе полупроводниковых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 том числе в квантовых ямах.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Особенностью двумерного электронного газа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>, а также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ямы.</w:t>
      </w:r>
    </w:p>
    <w:p w14:paraId="777B3DBC" w14:textId="49CE00A9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241365F8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двумерном электронном газе существуют различные режимы транспорта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диффузионный, квази-баллистический, баллистический.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много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рассеяние электронов на примесях мало по сравнению с рассеянием на стенках структуры. </w:t>
      </w:r>
    </w:p>
    <w:p w14:paraId="66C58B85" w14:textId="2AB97B70" w:rsidR="00A729C1" w:rsidRPr="0006781B" w:rsidRDefault="00A729C1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E63949C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7777777" w:rsidR="00A729C1" w:rsidRPr="0096538D" w:rsidRDefault="00C21762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65AFC2BA" w:rsidR="009D71BA" w:rsidRPr="009D71BA" w:rsidRDefault="00C21762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</m:oMath>
      </m:oMathPara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8B81F3E" w:rsidR="00CF6DAD" w:rsidRDefault="00983E9B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5AABB11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.65pt;margin-top:151.95pt;width:211.25pt;height:.05pt;z-index:251714048;mso-position-horizontal-relative:text;mso-position-vertical-relative:text" wrapcoords="-77 0 -77 20925 21600 20925 21600 0 -77 0" stroked="f">
            <v:textbox style="mso-fit-shape-to-text:t" inset="0,0,0,0">
              <w:txbxContent>
                <w:p w14:paraId="07B4C60D" w14:textId="228F90B0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1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Гетероструктура</w:t>
                  </w:r>
                  <w:proofErr w:type="spellEnd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с квантовой ямой</w:t>
                  </w:r>
                </w:p>
              </w:txbxContent>
            </v:textbox>
            <w10:wrap type="tight"/>
          </v:shape>
        </w:pict>
      </w:r>
      <w:r w:rsidR="003B1CC0"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</w:t>
      </w:r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 w:rsidR="003B1CC0">
        <w:rPr>
          <w:rFonts w:ascii="Times New Roman" w:eastAsiaTheme="minorEastAsia" w:hAnsi="Times New Roman" w:cs="Times New Roman"/>
          <w:sz w:val="28"/>
          <w:szCs w:val="28"/>
        </w:rPr>
        <w:t>гетероструктуры</w:t>
      </w:r>
      <w:proofErr w:type="spellEnd"/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proofErr w:type="spellStart"/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proofErr w:type="spellEnd"/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слоями</m:t>
        </m:r>
      </m:oMath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376F0C" w14:textId="0D42345E" w:rsidR="006D059A" w:rsidRDefault="00C56C7F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2" behindDoc="1" locked="0" layoutInCell="1" allowOverlap="1" wp14:anchorId="29C01E74" wp14:editId="7D9DC907">
            <wp:simplePos x="0" y="0"/>
            <wp:positionH relativeFrom="column">
              <wp:posOffset>885515</wp:posOffset>
            </wp:positionH>
            <wp:positionV relativeFrom="paragraph">
              <wp:posOffset>2646060</wp:posOffset>
            </wp:positionV>
            <wp:extent cx="1978660" cy="19710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1" locked="0" layoutInCell="1" allowOverlap="1" wp14:anchorId="5783B8B6" wp14:editId="1DA51C4D">
            <wp:simplePos x="0" y="0"/>
            <wp:positionH relativeFrom="column">
              <wp:posOffset>3539490</wp:posOffset>
            </wp:positionH>
            <wp:positionV relativeFrom="paragraph">
              <wp:posOffset>2741295</wp:posOffset>
            </wp:positionV>
            <wp:extent cx="1793240" cy="18472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31F8507C" wp14:editId="494A8A06">
            <wp:simplePos x="0" y="0"/>
            <wp:positionH relativeFrom="column">
              <wp:posOffset>4032589</wp:posOffset>
            </wp:positionH>
            <wp:positionV relativeFrom="paragraph">
              <wp:posOffset>1065796</wp:posOffset>
            </wp:positionV>
            <wp:extent cx="1862690" cy="1677512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90" cy="167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C7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32128" behindDoc="1" locked="0" layoutInCell="1" allowOverlap="1" wp14:anchorId="26AD0356" wp14:editId="162C10FE">
            <wp:simplePos x="0" y="0"/>
            <wp:positionH relativeFrom="column">
              <wp:posOffset>-12080</wp:posOffset>
            </wp:positionH>
            <wp:positionV relativeFrom="paragraph">
              <wp:posOffset>1139293</wp:posOffset>
            </wp:positionV>
            <wp:extent cx="3830320" cy="1466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</w:t>
      </w:r>
      <w:proofErr w:type="spellStart"/>
      <w:r w:rsidR="001D2BDA">
        <w:rPr>
          <w:rFonts w:ascii="Times New Roman" w:eastAsiaTheme="minorEastAsia" w:hAnsi="Times New Roman" w:cs="Times New Roman"/>
          <w:sz w:val="28"/>
          <w:szCs w:val="28"/>
        </w:rPr>
        <w:t>гетероструктуре</w:t>
      </w:r>
      <w:proofErr w:type="spellEnd"/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ED01295" w14:textId="549C2862" w:rsidR="00C56C7F" w:rsidRPr="00CF6DAD" w:rsidRDefault="00C56C7F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1FE61" w14:textId="237604C9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фотолитография по фоторезисту, напыление омических контактов, их </w:t>
      </w:r>
      <w:proofErr w:type="spellStart"/>
      <w:r w:rsidR="00CF0B18">
        <w:rPr>
          <w:rFonts w:ascii="Times New Roman" w:eastAsiaTheme="minorEastAsia" w:hAnsi="Times New Roman" w:cs="Times New Roman"/>
          <w:sz w:val="28"/>
          <w:szCs w:val="28"/>
        </w:rPr>
        <w:t>вжигание</w:t>
      </w:r>
      <w:proofErr w:type="spellEnd"/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1587228" w14:textId="20D932BA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1BFBB0A7" w14:textId="612982CE" w:rsidR="00990A0B" w:rsidRDefault="00983E9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0CCA0EE1">
          <v:shape id="_x0000_s1026" type="#_x0000_t202" style="position:absolute;left:0;text-align:left;margin-left:190.85pt;margin-top:207.05pt;width:280.05pt;height:16.3pt;z-index:251712000;mso-position-horizontal-relative:text;mso-position-vertical-relative:text" wrapcoords="-58 0 -58 20925 21600 20925 21600 0 -58 0" stroked="f">
            <v:textbox inset="0,0,0,0">
              <w:txbxContent>
                <w:p w14:paraId="3EA97E4B" w14:textId="417C7C96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Схема установки</w:t>
                  </w:r>
                </w:p>
              </w:txbxContent>
            </v:textbox>
            <w10:wrap type="tight"/>
          </v:shape>
        </w:pict>
      </w:r>
      <w:r w:rsidRPr="00983E9B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5A03ECF" wp14:editId="38460C7A">
            <wp:simplePos x="0" y="0"/>
            <wp:positionH relativeFrom="column">
              <wp:posOffset>2433320</wp:posOffset>
            </wp:positionH>
            <wp:positionV relativeFrom="paragraph">
              <wp:posOffset>118745</wp:posOffset>
            </wp:positionV>
            <wp:extent cx="3547110" cy="2491740"/>
            <wp:effectExtent l="0" t="0" r="0" b="0"/>
            <wp:wrapTight wrapText="bothSides">
              <wp:wrapPolygon edited="0">
                <wp:start x="0" y="0"/>
                <wp:lineTo x="0" y="21468"/>
                <wp:lineTo x="21461" y="21468"/>
                <wp:lineTo x="214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В работе использовался криостат </w:t>
      </w:r>
      <w:proofErr w:type="spellStart"/>
      <w:r w:rsidR="00162FA0">
        <w:rPr>
          <w:rFonts w:ascii="Times New Roman" w:eastAsiaTheme="minorEastAsia" w:hAnsi="Times New Roman" w:cs="Times New Roman"/>
          <w:sz w:val="28"/>
          <w:szCs w:val="28"/>
          <w:lang w:val="en-US"/>
        </w:rPr>
        <w:t>TeslatronPT</w:t>
      </w:r>
      <w:proofErr w:type="spellEnd"/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со встроенным магнитом.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нцип работы криостата основывается на откачке паров гелия. В ходе эксперимента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серии данных были записаны при различных температурах от 1,6 до 80 К. 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>Встроенный постоянный магнит позволял устанавливать магнитное поле до 12 Т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659A1A" w14:textId="4D052779" w:rsidR="00CF6DAD" w:rsidRPr="00CF6DAD" w:rsidRDefault="00990A0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 виде отклик тока регистрируется на частоте прикладываемого напряжения, то для детектирования сигнала использовался метод синхронного детектирования.  К образцу прикладывалось напряжение 1 В через резистор 1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МОм, и так как характерное напряжение между контактами во время измерений составляло 1 кОм, то между контактами напряжение составляло порядка 1 мВ. Во время измерений также контролировалась фаза принимаемого сигнала, а также </w:t>
      </w:r>
      <w:r w:rsidR="00983E9B">
        <w:rPr>
          <w:rFonts w:ascii="Times New Roman" w:eastAsiaTheme="minorEastAsia" w:hAnsi="Times New Roman" w:cs="Times New Roman"/>
          <w:sz w:val="28"/>
          <w:szCs w:val="28"/>
        </w:rPr>
        <w:t>линейность зависимости получаемого тока от прикладываемого напряжения.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D599FB" w14:textId="3992F672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6A51C926" w:rsidR="00CF6DAD" w:rsidRDefault="006D438A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</w:t>
      </w:r>
    </w:p>
    <w:p w14:paraId="5E9EB55B" w14:textId="5D89CB4B" w:rsidR="006D438A" w:rsidRDefault="006D438A" w:rsidP="006D43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438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концентрации и подвижности электронов в ДЭГ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использовался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Четырехзондовое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измерение сопротивления позволяет избавиться от сопротивления контактов. Суть метода состоит в том, что образец любой формы может быть с помощью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комфорных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отображений переведен в полуплоскость. Такие отображения сохраняют углы между кривыми и пропорции малых фигур. Из этого можно получить, что сопротивления, измеренные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четырехзондовым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способом также сохраняются при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комфорных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отображениях. Таким образом, работает формула полученная для контактов, расположенных на границе полуплоскости</w:t>
      </w:r>
      <w:r w:rsidR="00B46430" w:rsidRPr="00B464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69A410" w14:textId="6F9F1247" w:rsidR="00B46430" w:rsidRPr="00B46430" w:rsidRDefault="00B46430" w:rsidP="00B4643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12,34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0F440403" w14:textId="220D7C84" w:rsidR="00C239DE" w:rsidRPr="00C239DE" w:rsidRDefault="00B46430" w:rsidP="00C239D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ab,cd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опротивление</w:t>
      </w:r>
      <w:proofErr w:type="spellEnd"/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контактами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пропускании тока через контакты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B464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>двумерная проводимость. В простейшем случае для квадратного образца получается формула (из симметрии)</w:t>
      </w:r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6E8F71" w14:textId="294B23BD" w:rsidR="00C239DE" w:rsidRPr="00C239DE" w:rsidRDefault="00C239DE" w:rsidP="00C239DE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A48F688" w14:textId="40123ED5" w:rsidR="00B46430" w:rsidRPr="007E7DAC" w:rsidRDefault="00C239DE" w:rsidP="00C239D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bookmarkStart w:id="4" w:name="_GoBack"/>
      <w:bookmarkEnd w:id="4"/>
    </w:p>
    <w:p w14:paraId="61B61CEF" w14:textId="1D0DD81E" w:rsidR="003E21B3" w:rsidRPr="006D438A" w:rsidRDefault="003E21B3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E21B3" w:rsidRPr="006D438A" w:rsidSect="00CF6DAD">
      <w:headerReference w:type="default" r:id="rId14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9CD4" w14:textId="77777777" w:rsidR="00C21762" w:rsidRDefault="00C21762" w:rsidP="00564FFB">
      <w:pPr>
        <w:spacing w:after="0" w:line="240" w:lineRule="auto"/>
      </w:pPr>
      <w:r>
        <w:separator/>
      </w:r>
    </w:p>
  </w:endnote>
  <w:endnote w:type="continuationSeparator" w:id="0">
    <w:p w14:paraId="346DB3E7" w14:textId="77777777" w:rsidR="00C21762" w:rsidRDefault="00C21762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F667" w14:textId="77777777" w:rsidR="00C21762" w:rsidRDefault="00C21762" w:rsidP="00564FFB">
      <w:pPr>
        <w:spacing w:after="0" w:line="240" w:lineRule="auto"/>
      </w:pPr>
      <w:r>
        <w:separator/>
      </w:r>
    </w:p>
  </w:footnote>
  <w:footnote w:type="continuationSeparator" w:id="0">
    <w:p w14:paraId="05F22CCF" w14:textId="77777777" w:rsidR="00C21762" w:rsidRDefault="00C21762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6781B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2FA0"/>
    <w:rsid w:val="001644E6"/>
    <w:rsid w:val="001751A3"/>
    <w:rsid w:val="00184E9D"/>
    <w:rsid w:val="001864EF"/>
    <w:rsid w:val="00194A53"/>
    <w:rsid w:val="00195828"/>
    <w:rsid w:val="001B3285"/>
    <w:rsid w:val="001C350D"/>
    <w:rsid w:val="001C3824"/>
    <w:rsid w:val="001C64CE"/>
    <w:rsid w:val="001D0292"/>
    <w:rsid w:val="001D2BDA"/>
    <w:rsid w:val="00202855"/>
    <w:rsid w:val="00203FCA"/>
    <w:rsid w:val="00205262"/>
    <w:rsid w:val="00245998"/>
    <w:rsid w:val="00264C73"/>
    <w:rsid w:val="0027642B"/>
    <w:rsid w:val="00296278"/>
    <w:rsid w:val="002B5236"/>
    <w:rsid w:val="002D79C9"/>
    <w:rsid w:val="002E5308"/>
    <w:rsid w:val="002E64E7"/>
    <w:rsid w:val="002E66C0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B1CC0"/>
    <w:rsid w:val="003C360D"/>
    <w:rsid w:val="003C5B5D"/>
    <w:rsid w:val="003D5165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65D1F"/>
    <w:rsid w:val="004712C4"/>
    <w:rsid w:val="00472751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355BE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916EB"/>
    <w:rsid w:val="006B5B5C"/>
    <w:rsid w:val="006C6E60"/>
    <w:rsid w:val="006D059A"/>
    <w:rsid w:val="006D24D9"/>
    <w:rsid w:val="006D438A"/>
    <w:rsid w:val="006D4F77"/>
    <w:rsid w:val="006E1E87"/>
    <w:rsid w:val="006E32CE"/>
    <w:rsid w:val="006F3B3C"/>
    <w:rsid w:val="006F71A2"/>
    <w:rsid w:val="007017B0"/>
    <w:rsid w:val="00715423"/>
    <w:rsid w:val="00761A41"/>
    <w:rsid w:val="00762767"/>
    <w:rsid w:val="00765BE9"/>
    <w:rsid w:val="00765F28"/>
    <w:rsid w:val="007716B7"/>
    <w:rsid w:val="00793DBE"/>
    <w:rsid w:val="00794524"/>
    <w:rsid w:val="007B01A6"/>
    <w:rsid w:val="007C5576"/>
    <w:rsid w:val="007D1F6C"/>
    <w:rsid w:val="007E7DA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5335E"/>
    <w:rsid w:val="00955640"/>
    <w:rsid w:val="0096538D"/>
    <w:rsid w:val="00967FB2"/>
    <w:rsid w:val="00973CA6"/>
    <w:rsid w:val="00980CD2"/>
    <w:rsid w:val="00983E9B"/>
    <w:rsid w:val="00990A0B"/>
    <w:rsid w:val="009933FD"/>
    <w:rsid w:val="009A5527"/>
    <w:rsid w:val="009A7582"/>
    <w:rsid w:val="009D71BA"/>
    <w:rsid w:val="009E40F3"/>
    <w:rsid w:val="009F2DE2"/>
    <w:rsid w:val="00A04CB5"/>
    <w:rsid w:val="00A24E21"/>
    <w:rsid w:val="00A339C4"/>
    <w:rsid w:val="00A439ED"/>
    <w:rsid w:val="00A46BAE"/>
    <w:rsid w:val="00A729C1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46430"/>
    <w:rsid w:val="00B50630"/>
    <w:rsid w:val="00B64B99"/>
    <w:rsid w:val="00B9527F"/>
    <w:rsid w:val="00BA04E3"/>
    <w:rsid w:val="00BB2C92"/>
    <w:rsid w:val="00BB3324"/>
    <w:rsid w:val="00BC6AFD"/>
    <w:rsid w:val="00C20762"/>
    <w:rsid w:val="00C21762"/>
    <w:rsid w:val="00C229CE"/>
    <w:rsid w:val="00C239DE"/>
    <w:rsid w:val="00C31388"/>
    <w:rsid w:val="00C566F2"/>
    <w:rsid w:val="00C56C7F"/>
    <w:rsid w:val="00C81788"/>
    <w:rsid w:val="00CB1D36"/>
    <w:rsid w:val="00CC402D"/>
    <w:rsid w:val="00CC7444"/>
    <w:rsid w:val="00CE338A"/>
    <w:rsid w:val="00CE6186"/>
    <w:rsid w:val="00CE777A"/>
    <w:rsid w:val="00CF0B18"/>
    <w:rsid w:val="00CF6DAD"/>
    <w:rsid w:val="00D055B0"/>
    <w:rsid w:val="00D06315"/>
    <w:rsid w:val="00D22395"/>
    <w:rsid w:val="00D30E1E"/>
    <w:rsid w:val="00D40003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32FE"/>
    <w:rsid w:val="00E85211"/>
    <w:rsid w:val="00E93F38"/>
    <w:rsid w:val="00EA0ECF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  <w:style w:type="paragraph" w:styleId="af0">
    <w:name w:val="caption"/>
    <w:basedOn w:val="a"/>
    <w:next w:val="a"/>
    <w:uiPriority w:val="35"/>
    <w:unhideWhenUsed/>
    <w:qFormat/>
    <w:rsid w:val="00983E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00CD2-D525-425C-83F0-BD707A93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10588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25</cp:revision>
  <dcterms:created xsi:type="dcterms:W3CDTF">2020-12-11T15:31:00Z</dcterms:created>
  <dcterms:modified xsi:type="dcterms:W3CDTF">2023-04-17T11:09:00Z</dcterms:modified>
</cp:coreProperties>
</file>