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A2F64" w14:textId="77777777" w:rsidR="00E71621" w:rsidRPr="00707E8C" w:rsidRDefault="00E71621" w:rsidP="004D2D94">
      <w:pPr>
        <w:spacing w:after="120"/>
        <w:ind w:left="-284" w:right="-143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58952260"/>
      <w:bookmarkStart w:id="1" w:name="_Toc58952353"/>
      <w:bookmarkStart w:id="2" w:name="_Toc58952456"/>
      <w:r w:rsidRPr="00707E8C">
        <w:rPr>
          <w:rFonts w:ascii="Times New Roman" w:hAnsi="Times New Roman" w:cs="Times New Roman"/>
          <w:sz w:val="24"/>
          <w:szCs w:val="24"/>
        </w:rPr>
        <w:t>МИНИСТЕРСТВО</w:t>
      </w:r>
      <w:r w:rsidR="003C5B5D">
        <w:rPr>
          <w:rFonts w:ascii="Times New Roman" w:hAnsi="Times New Roman" w:cs="Times New Roman"/>
          <w:sz w:val="24"/>
          <w:szCs w:val="24"/>
        </w:rPr>
        <w:t xml:space="preserve"> НАУКИ И ВЫСШЕГО</w:t>
      </w:r>
      <w:r w:rsidRPr="00707E8C">
        <w:rPr>
          <w:rFonts w:ascii="Times New Roman" w:hAnsi="Times New Roman" w:cs="Times New Roman"/>
          <w:sz w:val="24"/>
          <w:szCs w:val="24"/>
        </w:rPr>
        <w:t xml:space="preserve"> ОБРАЗОВАНИЯ РОССИЙСКОЙ ФЕДЕРАЦИИ</w:t>
      </w:r>
    </w:p>
    <w:p w14:paraId="3AE8C7C0" w14:textId="77777777" w:rsidR="00E71621" w:rsidRPr="00707E8C" w:rsidRDefault="00E71621" w:rsidP="004D2D94">
      <w:pPr>
        <w:spacing w:after="120"/>
        <w:ind w:left="-284"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707E8C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«НОВОСИБИРСКИЙ НАЦИОНАЛЬНЫЙ ИССЛЕДОВАТЕЛЬСКИЙ ГОСУДАРСТВЕННЫЙ УНИВЕРСИТЕТ».</w:t>
      </w:r>
    </w:p>
    <w:p w14:paraId="0F43E1FA" w14:textId="77777777" w:rsidR="00E71621" w:rsidRPr="00707E8C" w:rsidRDefault="00E71621" w:rsidP="004D2D94">
      <w:pPr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707E8C">
        <w:rPr>
          <w:rFonts w:ascii="Times New Roman" w:hAnsi="Times New Roman" w:cs="Times New Roman"/>
          <w:sz w:val="28"/>
          <w:szCs w:val="28"/>
        </w:rPr>
        <w:t>Физический факультет</w:t>
      </w:r>
    </w:p>
    <w:p w14:paraId="3A40E367" w14:textId="0C208D42" w:rsidR="00E71621" w:rsidRPr="00707E8C" w:rsidRDefault="00E71621" w:rsidP="004D2D94">
      <w:pPr>
        <w:spacing w:after="72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707E8C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CF6DAD">
        <w:rPr>
          <w:rFonts w:ascii="Times New Roman" w:hAnsi="Times New Roman" w:cs="Times New Roman"/>
          <w:sz w:val="28"/>
          <w:szCs w:val="28"/>
        </w:rPr>
        <w:t>физики полупроводников</w:t>
      </w:r>
    </w:p>
    <w:p w14:paraId="6660A701" w14:textId="77777777" w:rsidR="00E71621" w:rsidRPr="00707E8C" w:rsidRDefault="004F5F31" w:rsidP="004D2D94">
      <w:pPr>
        <w:spacing w:after="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Егоров Дмитрий Александрович</w:t>
      </w:r>
    </w:p>
    <w:p w14:paraId="24F3C13C" w14:textId="77777777" w:rsidR="00E71621" w:rsidRPr="00707E8C" w:rsidRDefault="00E71621" w:rsidP="004D2D94">
      <w:pPr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707E8C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3648D58B" w14:textId="41A75324" w:rsidR="00E71621" w:rsidRPr="00FD7ED6" w:rsidRDefault="00CF6DAD" w:rsidP="004D2D94">
      <w:pPr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Особенности магнетосопротивления полупроводниковых микроструктур, обусловленные эффектом магнитной фокусировки</w:t>
      </w:r>
    </w:p>
    <w:p w14:paraId="2334F88F" w14:textId="3B079BD8" w:rsidR="00E71621" w:rsidRDefault="00CF6DAD" w:rsidP="004D2D94">
      <w:pPr>
        <w:spacing w:after="84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71621">
        <w:rPr>
          <w:rFonts w:ascii="Times New Roman" w:hAnsi="Times New Roman" w:cs="Times New Roman"/>
          <w:sz w:val="28"/>
          <w:szCs w:val="28"/>
        </w:rPr>
        <w:t xml:space="preserve"> курс, группа №</w:t>
      </w:r>
      <w:r w:rsidR="004F5F31" w:rsidRPr="00FD7ED6">
        <w:rPr>
          <w:rFonts w:ascii="Times New Roman" w:hAnsi="Times New Roman" w:cs="Times New Roman"/>
          <w:sz w:val="28"/>
          <w:szCs w:val="28"/>
        </w:rPr>
        <w:t>203</w:t>
      </w:r>
      <w:r>
        <w:rPr>
          <w:rFonts w:ascii="Times New Roman" w:hAnsi="Times New Roman" w:cs="Times New Roman"/>
          <w:sz w:val="28"/>
          <w:szCs w:val="28"/>
        </w:rPr>
        <w:t>44</w:t>
      </w:r>
    </w:p>
    <w:p w14:paraId="1FF226F7" w14:textId="27CDA581" w:rsidR="00CF6DAD" w:rsidRDefault="00CF6DAD" w:rsidP="004D2D94">
      <w:pPr>
        <w:spacing w:after="84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07A3D7C0" w14:textId="3CBCA3D6" w:rsidR="00CF6DAD" w:rsidRDefault="00CF6DAD" w:rsidP="004D2D94">
      <w:pPr>
        <w:spacing w:after="84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2B628141" w14:textId="77777777" w:rsidR="00CF6DAD" w:rsidRPr="00FD7ED6" w:rsidRDefault="00CF6DAD" w:rsidP="004D2D94">
      <w:pPr>
        <w:spacing w:after="84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42304F3B" w14:textId="77777777" w:rsidR="00E71621" w:rsidRDefault="00E71621" w:rsidP="004D2D94">
      <w:pPr>
        <w:tabs>
          <w:tab w:val="left" w:pos="5387"/>
        </w:tabs>
        <w:spacing w:after="0"/>
        <w:ind w:left="4536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E6812">
        <w:rPr>
          <w:rFonts w:ascii="Times New Roman" w:hAnsi="Times New Roman" w:cs="Times New Roman"/>
          <w:b/>
          <w:sz w:val="28"/>
          <w:szCs w:val="28"/>
        </w:rPr>
        <w:t>Научный руководитель</w:t>
      </w:r>
      <w:r w:rsidRPr="00FE6812">
        <w:rPr>
          <w:rFonts w:ascii="Times New Roman" w:hAnsi="Times New Roman" w:cs="Times New Roman"/>
          <w:sz w:val="28"/>
          <w:szCs w:val="28"/>
        </w:rPr>
        <w:t>:</w:t>
      </w:r>
      <w:r w:rsidRPr="00FE6812">
        <w:rPr>
          <w:rFonts w:ascii="Times New Roman" w:hAnsi="Times New Roman" w:cs="Times New Roman"/>
          <w:sz w:val="28"/>
          <w:szCs w:val="28"/>
        </w:rPr>
        <w:cr/>
      </w:r>
      <w:r w:rsidR="00E1533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4F5F31">
        <w:rPr>
          <w:rFonts w:ascii="Times New Roman" w:hAnsi="Times New Roman" w:cs="Times New Roman"/>
          <w:sz w:val="28"/>
          <w:szCs w:val="28"/>
          <w:u w:val="single"/>
        </w:rPr>
        <w:t>к.ф</w:t>
      </w:r>
      <w:r w:rsidR="004F5F31" w:rsidRPr="004F5F3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4F5F31">
        <w:rPr>
          <w:rFonts w:ascii="Times New Roman" w:hAnsi="Times New Roman" w:cs="Times New Roman"/>
          <w:sz w:val="28"/>
          <w:szCs w:val="28"/>
          <w:u w:val="single"/>
        </w:rPr>
        <w:t>-м.н. Д.А. Похабов</w:t>
      </w:r>
    </w:p>
    <w:p w14:paraId="525C56A3" w14:textId="77777777" w:rsidR="00E71621" w:rsidRDefault="00E71621" w:rsidP="004D2D94">
      <w:pPr>
        <w:tabs>
          <w:tab w:val="left" w:pos="5387"/>
        </w:tabs>
        <w:spacing w:after="0"/>
        <w:ind w:left="4536"/>
        <w:jc w:val="center"/>
        <w:rPr>
          <w:rFonts w:ascii="Times New Roman" w:hAnsi="Times New Roman" w:cs="Times New Roman"/>
          <w:sz w:val="28"/>
          <w:szCs w:val="28"/>
        </w:rPr>
      </w:pPr>
      <w:r w:rsidRPr="00367DA4">
        <w:rPr>
          <w:rFonts w:ascii="Times New Roman" w:hAnsi="Times New Roman" w:cs="Times New Roman"/>
          <w:sz w:val="28"/>
          <w:szCs w:val="28"/>
        </w:rPr>
        <w:t>Оценка научного руководителя</w:t>
      </w:r>
    </w:p>
    <w:p w14:paraId="3B747AA4" w14:textId="77777777" w:rsidR="00E71621" w:rsidRDefault="00E71621" w:rsidP="004D2D94">
      <w:pPr>
        <w:tabs>
          <w:tab w:val="left" w:pos="5387"/>
        </w:tabs>
        <w:spacing w:after="0"/>
        <w:ind w:left="4536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E91ADBB" w14:textId="7B8086E5" w:rsidR="00E71621" w:rsidRDefault="00E71621" w:rsidP="004D2D94">
      <w:pPr>
        <w:tabs>
          <w:tab w:val="left" w:pos="5387"/>
        </w:tabs>
        <w:spacing w:after="240"/>
        <w:ind w:left="4536"/>
        <w:jc w:val="center"/>
        <w:rPr>
          <w:rFonts w:ascii="Times New Roman" w:hAnsi="Times New Roman" w:cs="Times New Roman"/>
          <w:sz w:val="28"/>
          <w:szCs w:val="28"/>
        </w:rPr>
      </w:pPr>
      <w:r w:rsidRPr="00395075">
        <w:rPr>
          <w:rFonts w:ascii="Times New Roman" w:hAnsi="Times New Roman" w:cs="Times New Roman"/>
          <w:sz w:val="28"/>
          <w:szCs w:val="28"/>
        </w:rPr>
        <w:t>«</w:t>
      </w:r>
      <w:r w:rsidR="004D2D94" w:rsidRPr="00CF6DAD">
        <w:rPr>
          <w:rFonts w:ascii="Times New Roman" w:hAnsi="Times New Roman" w:cs="Times New Roman"/>
          <w:sz w:val="28"/>
          <w:szCs w:val="28"/>
        </w:rPr>
        <w:t xml:space="preserve">     </w:t>
      </w:r>
      <w:r w:rsidRPr="00395075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6DAD">
        <w:rPr>
          <w:rFonts w:ascii="Times New Roman" w:hAnsi="Times New Roman" w:cs="Times New Roman"/>
          <w:sz w:val="28"/>
          <w:szCs w:val="28"/>
          <w:u w:val="single"/>
        </w:rPr>
        <w:t>мая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CF6DAD">
        <w:rPr>
          <w:rFonts w:ascii="Times New Roman" w:hAnsi="Times New Roman" w:cs="Times New Roman"/>
          <w:sz w:val="28"/>
          <w:szCs w:val="28"/>
        </w:rPr>
        <w:t>3</w:t>
      </w:r>
      <w:r w:rsidRPr="00395075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BA210B" w14:textId="3398A87F" w:rsidR="005A237E" w:rsidRDefault="005A237E" w:rsidP="004D2D94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0284D3C3" w14:textId="77777777" w:rsidR="00CF6DAD" w:rsidRDefault="00CF6DAD" w:rsidP="004D2D94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5F929556" w14:textId="55207A03" w:rsidR="0064653E" w:rsidRDefault="0064653E" w:rsidP="004D2D94">
      <w:pPr>
        <w:spacing w:line="36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</w:t>
      </w:r>
      <w:r w:rsidR="00CF6DAD">
        <w:rPr>
          <w:rFonts w:ascii="Times New Roman" w:hAnsi="Times New Roman" w:cs="Times New Roman"/>
          <w:sz w:val="28"/>
          <w:szCs w:val="28"/>
        </w:rPr>
        <w:t>3</w:t>
      </w:r>
      <w:r w:rsidR="00E71621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577E521" w14:textId="77777777" w:rsidR="00A439ED" w:rsidRPr="008508B7" w:rsidRDefault="00A439ED" w:rsidP="00F30DD7">
      <w:pPr>
        <w:spacing w:after="0"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8508B7">
        <w:rPr>
          <w:rFonts w:ascii="Times New Roman" w:hAnsi="Times New Roman" w:cs="Times New Roman"/>
          <w:b/>
          <w:sz w:val="28"/>
          <w:szCs w:val="28"/>
        </w:rPr>
        <w:lastRenderedPageBreak/>
        <w:t>Аннотация</w:t>
      </w:r>
    </w:p>
    <w:p w14:paraId="213E8BA7" w14:textId="77777777" w:rsidR="004C7426" w:rsidRPr="004C7426" w:rsidRDefault="004C7426" w:rsidP="00F30DD7">
      <w:pPr>
        <w:pStyle w:val="a3"/>
        <w:spacing w:after="0" w:line="360" w:lineRule="auto"/>
        <w:ind w:left="0" w:firstLine="284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4C7426">
        <w:rPr>
          <w:rFonts w:ascii="Times New Roman" w:hAnsi="Times New Roman" w:cs="Times New Roman"/>
          <w:sz w:val="28"/>
          <w:szCs w:val="28"/>
        </w:rPr>
        <w:tab/>
      </w:r>
    </w:p>
    <w:p w14:paraId="778056D0" w14:textId="77777777" w:rsidR="00A439ED" w:rsidRDefault="00A439ED" w:rsidP="00F30DD7">
      <w:pPr>
        <w:spacing w:after="0"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18F5EE7" w14:textId="77777777" w:rsidR="00B64B99" w:rsidRPr="00AF1E62" w:rsidRDefault="00564FFB" w:rsidP="00F30DD7">
      <w:pPr>
        <w:pStyle w:val="a3"/>
        <w:spacing w:after="0" w:line="360" w:lineRule="auto"/>
        <w:ind w:left="0" w:firstLine="284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58952860"/>
      <w:r w:rsidRPr="00564FFB"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  <w:bookmarkEnd w:id="0"/>
      <w:bookmarkEnd w:id="1"/>
      <w:bookmarkEnd w:id="2"/>
      <w:bookmarkEnd w:id="3"/>
    </w:p>
    <w:p w14:paraId="451ED9DA" w14:textId="6627ED0C" w:rsidR="007C5576" w:rsidRPr="00D30E1E" w:rsidRDefault="007C5576" w:rsidP="00CF6DAD">
      <w:pPr>
        <w:pStyle w:val="21"/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4B98540A" w14:textId="77777777" w:rsidR="007C5576" w:rsidRDefault="007C5576" w:rsidP="00F30DD7">
      <w:pPr>
        <w:spacing w:after="0" w:line="360" w:lineRule="auto"/>
        <w:ind w:firstLine="284"/>
        <w:rPr>
          <w:rFonts w:ascii="Times New Roman" w:hAnsi="Times New Roman" w:cs="Times New Roman"/>
          <w:b/>
          <w:sz w:val="32"/>
          <w:szCs w:val="32"/>
        </w:rPr>
      </w:pPr>
    </w:p>
    <w:p w14:paraId="2DDCE74A" w14:textId="77777777" w:rsidR="00564FFB" w:rsidRPr="00BB3324" w:rsidRDefault="00564FFB" w:rsidP="00F30DD7">
      <w:pPr>
        <w:spacing w:after="0" w:line="360" w:lineRule="auto"/>
        <w:ind w:firstLine="28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3AEA4565" w14:textId="29DE5768" w:rsidR="00CF6DAD" w:rsidRPr="00D40003" w:rsidRDefault="00CF6DAD" w:rsidP="00CF6DAD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12DE5A51" w14:textId="2DCD57AF" w:rsidR="00F20F00" w:rsidRPr="009D71BA" w:rsidRDefault="00D40003" w:rsidP="00F20F00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0003">
        <w:rPr>
          <w:rFonts w:ascii="Times New Roman" w:eastAsiaTheme="minorEastAsia" w:hAnsi="Times New Roman" w:cs="Times New Roman"/>
          <w:sz w:val="28"/>
          <w:szCs w:val="28"/>
        </w:rPr>
        <w:t>Работа посвящена изучению магнитной фокусировки</w:t>
      </w:r>
      <w:r w:rsidR="00F20F00">
        <w:rPr>
          <w:rFonts w:ascii="Times New Roman" w:eastAsiaTheme="minorEastAsia" w:hAnsi="Times New Roman" w:cs="Times New Roman"/>
          <w:sz w:val="28"/>
          <w:szCs w:val="28"/>
        </w:rPr>
        <w:t xml:space="preserve"> в режиме баллистического транспорта</w:t>
      </w:r>
      <w:r w:rsidRPr="00D40003">
        <w:rPr>
          <w:rFonts w:ascii="Times New Roman" w:eastAsiaTheme="minorEastAsia" w:hAnsi="Times New Roman" w:cs="Times New Roman"/>
          <w:sz w:val="28"/>
          <w:szCs w:val="28"/>
        </w:rPr>
        <w:t xml:space="preserve"> в микроструктурах с двумерным электронным газом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В изучаемых образцах можно наблюдать </w:t>
      </w:r>
      <w:r w:rsidR="00CE6186">
        <w:rPr>
          <w:rFonts w:ascii="Times New Roman" w:eastAsiaTheme="minorEastAsia" w:hAnsi="Times New Roman" w:cs="Times New Roman"/>
          <w:sz w:val="28"/>
          <w:szCs w:val="28"/>
        </w:rPr>
        <w:t xml:space="preserve">наличие пиков в магнетосопротивлении и их температурную зависимость. На эту зависимость сильное влияние оказывает электрон-электронное взаимодействие.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Особенный интерес представляют подвешенные структуры, то есть отделенные от подложки, так как в таких структурах усиливается электрон-электронное взаимодействие. </w:t>
      </w:r>
      <w:r w:rsidR="00CE6186">
        <w:rPr>
          <w:rFonts w:ascii="Times New Roman" w:eastAsiaTheme="minorEastAsia" w:hAnsi="Times New Roman" w:cs="Times New Roman"/>
          <w:sz w:val="28"/>
          <w:szCs w:val="28"/>
        </w:rPr>
        <w:t xml:space="preserve">О силе этого взаимодействия можно судить по длине </w:t>
      </w:r>
      <w:r w:rsidR="00CE6186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="00CE6186" w:rsidRPr="00CE6186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CE6186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="00CE6186" w:rsidRPr="00CE61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6186">
        <w:rPr>
          <w:rFonts w:ascii="Times New Roman" w:eastAsiaTheme="minorEastAsia" w:hAnsi="Times New Roman" w:cs="Times New Roman"/>
          <w:sz w:val="28"/>
          <w:szCs w:val="28"/>
        </w:rPr>
        <w:t xml:space="preserve">рассеяния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ee</m:t>
            </m:r>
          </m:sub>
        </m:sSub>
      </m:oMath>
      <w:r w:rsidR="00CE6186" w:rsidRPr="009D71BA">
        <w:rPr>
          <w:rFonts w:ascii="Times New Roman" w:eastAsiaTheme="minorEastAsia" w:hAnsi="Times New Roman" w:cs="Times New Roman"/>
          <w:sz w:val="28"/>
          <w:szCs w:val="28"/>
        </w:rPr>
        <w:t>, которое можно извлечь из</w:t>
      </w:r>
      <w:r w:rsidR="00F20F00" w:rsidRPr="009D71BA">
        <w:rPr>
          <w:rFonts w:ascii="Times New Roman" w:eastAsiaTheme="minorEastAsia" w:hAnsi="Times New Roman" w:cs="Times New Roman"/>
          <w:sz w:val="28"/>
          <w:szCs w:val="28"/>
        </w:rPr>
        <w:t xml:space="preserve"> измерений магнетосопротивления</w:t>
      </w:r>
      <w:r w:rsidR="0040454D" w:rsidRPr="0040454D">
        <w:rPr>
          <w:rFonts w:ascii="Times New Roman" w:eastAsiaTheme="minorEastAsia" w:hAnsi="Times New Roman" w:cs="Times New Roman"/>
          <w:sz w:val="28"/>
          <w:szCs w:val="28"/>
        </w:rPr>
        <w:t xml:space="preserve"> []</w:t>
      </w:r>
      <w:r w:rsidR="00F20F00" w:rsidRPr="009D71B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0914190" w14:textId="73983B5E" w:rsidR="00F20F00" w:rsidRDefault="00F20F00" w:rsidP="00F20F00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D71BA">
        <w:rPr>
          <w:rFonts w:ascii="Times New Roman" w:eastAsiaTheme="minorEastAsia" w:hAnsi="Times New Roman" w:cs="Times New Roman"/>
          <w:sz w:val="28"/>
          <w:szCs w:val="28"/>
        </w:rPr>
        <w:t xml:space="preserve">Целью данной работы являлось наблюдение фокусировочного пика в магнетосопротивлении и изучение температурной зависимости его высоты как в </w:t>
      </w:r>
      <w:proofErr w:type="spellStart"/>
      <w:r w:rsidRPr="009D71BA">
        <w:rPr>
          <w:rFonts w:ascii="Times New Roman" w:eastAsiaTheme="minorEastAsia" w:hAnsi="Times New Roman" w:cs="Times New Roman"/>
          <w:sz w:val="28"/>
          <w:szCs w:val="28"/>
        </w:rPr>
        <w:t>неподвешенных</w:t>
      </w:r>
      <w:proofErr w:type="spellEnd"/>
      <w:r w:rsidRPr="009D71BA">
        <w:rPr>
          <w:rFonts w:ascii="Times New Roman" w:eastAsiaTheme="minorEastAsia" w:hAnsi="Times New Roman" w:cs="Times New Roman"/>
          <w:sz w:val="28"/>
          <w:szCs w:val="28"/>
        </w:rPr>
        <w:t>, так и 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подвешенных образцах. Для достижения цели работы, были поставлены следующие задачи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322A6F79" w14:textId="41106ADF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Познакомиться с техникой низкотемпературного эксперимента</w:t>
      </w:r>
    </w:p>
    <w:p w14:paraId="2DE0D3BD" w14:textId="14102BFF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Освоить методику измерения малых сигналов</w:t>
      </w:r>
    </w:p>
    <w:p w14:paraId="4B74A150" w14:textId="1757F75F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Познакомиться со строением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гетероструктур</w:t>
      </w:r>
      <w:proofErr w:type="spellEnd"/>
    </w:p>
    <w:p w14:paraId="7E1835ED" w14:textId="5540985D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Изучить методы создания микроструктур</w:t>
      </w:r>
      <w:r w:rsidR="009D71BA">
        <w:rPr>
          <w:rFonts w:ascii="Times New Roman" w:eastAsiaTheme="minorEastAsia" w:hAnsi="Times New Roman" w:cs="Times New Roman"/>
          <w:sz w:val="28"/>
          <w:szCs w:val="28"/>
        </w:rPr>
        <w:t xml:space="preserve"> в двумерном электронном газе</w:t>
      </w:r>
    </w:p>
    <w:p w14:paraId="32E57EE1" w14:textId="60611751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Создать собственный дизайн микроструктур</w:t>
      </w:r>
    </w:p>
    <w:p w14:paraId="07C856D8" w14:textId="7FA3F256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Составить технологический маршрут создания микроструктур</w:t>
      </w:r>
    </w:p>
    <w:p w14:paraId="4F94BB63" w14:textId="74F8B4BB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Изготовить образцы</w:t>
      </w:r>
    </w:p>
    <w:p w14:paraId="043A711C" w14:textId="7424C349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Провести серии измерений магнетосопротивления при различных температурах</w:t>
      </w:r>
    </w:p>
    <w:p w14:paraId="55BC98F4" w14:textId="49E423C9" w:rsidR="00F20F00" w:rsidRDefault="009D71BA" w:rsidP="009D71BA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Проанализировать полученные экспериментальные данные</w:t>
      </w:r>
    </w:p>
    <w:p w14:paraId="503DB6E7" w14:textId="64E2349A" w:rsidR="009D71BA" w:rsidRDefault="009D71BA" w:rsidP="009D71B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D71BA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Теоретическая часть</w:t>
      </w:r>
    </w:p>
    <w:p w14:paraId="5508EB8F" w14:textId="1463897B" w:rsidR="009D71BA" w:rsidRDefault="009D71BA" w:rsidP="009D71BA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Двумерный электронный газ</w:t>
      </w:r>
    </w:p>
    <w:p w14:paraId="1084B656" w14:textId="3CC8300D" w:rsidR="001B3285" w:rsidRPr="009D71BA" w:rsidRDefault="009D71BA" w:rsidP="001B3285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Двумерным электронным газом (ДЭГ) называется область пространства, в которой электроны движутся свободно только в двух направлениях</w:t>
      </w:r>
      <w:r w:rsidR="00715423">
        <w:rPr>
          <w:rFonts w:ascii="Times New Roman" w:eastAsiaTheme="minorEastAsia" w:hAnsi="Times New Roman" w:cs="Times New Roman"/>
          <w:sz w:val="28"/>
          <w:szCs w:val="28"/>
        </w:rPr>
        <w:t>, в третьем направлении движение электронов ограничивается потенциальным барьером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Обычно ДЭГ формируется на основе полупроводниковых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гетероструктур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в том числе в квантовых ямах. </w:t>
      </w:r>
      <w:r w:rsidR="00715423">
        <w:rPr>
          <w:rFonts w:ascii="Times New Roman" w:eastAsiaTheme="minorEastAsia" w:hAnsi="Times New Roman" w:cs="Times New Roman"/>
          <w:sz w:val="28"/>
          <w:szCs w:val="28"/>
        </w:rPr>
        <w:t>Особенностью двумерного электронного газа является высокая подвижность электроно</w:t>
      </w:r>
      <w:r w:rsidR="0006781B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1B3285">
        <w:rPr>
          <w:rFonts w:ascii="Times New Roman" w:eastAsiaTheme="minorEastAsia" w:hAnsi="Times New Roman" w:cs="Times New Roman"/>
          <w:sz w:val="28"/>
          <w:szCs w:val="28"/>
        </w:rPr>
        <w:t>, а также многообразие квантовых эффектов, которые в нем можно наблюдать.</w:t>
      </w:r>
      <w:r w:rsidR="00A729C1">
        <w:rPr>
          <w:rFonts w:ascii="Times New Roman" w:eastAsiaTheme="minorEastAsia" w:hAnsi="Times New Roman" w:cs="Times New Roman"/>
          <w:sz w:val="28"/>
          <w:szCs w:val="28"/>
        </w:rPr>
        <w:t xml:space="preserve"> В данной работе исследовался ДЭГ, полученный на основе квантовой ямы.</w:t>
      </w:r>
    </w:p>
    <w:p w14:paraId="777B3DBC" w14:textId="49CE00A9" w:rsidR="009D71BA" w:rsidRDefault="009D71BA" w:rsidP="009D71BA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Баллистический транспорт</w:t>
      </w:r>
    </w:p>
    <w:p w14:paraId="2A80CDFD" w14:textId="241365F8" w:rsidR="00C81788" w:rsidRDefault="0006781B" w:rsidP="00C81788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двумерном электронном газе существуют различные режимы транспорта</w:t>
      </w:r>
      <w:r w:rsidRPr="0006781B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диффузионный, квази-баллистический, баллистический. В данной работе изучается баллистический электронный транспорт. Он характеризуется тем, что характерные длина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Pr="000678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ширина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W</m:t>
        </m:r>
      </m:oMath>
      <w:r w:rsidRPr="000678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образца</w:t>
      </w:r>
      <w:r w:rsidR="00C81788">
        <w:rPr>
          <w:rFonts w:ascii="Times New Roman" w:eastAsiaTheme="minorEastAsia" w:hAnsi="Times New Roman" w:cs="Times New Roman"/>
          <w:sz w:val="28"/>
          <w:szCs w:val="28"/>
        </w:rPr>
        <w:t xml:space="preserve"> много </w:t>
      </w:r>
      <w:r>
        <w:rPr>
          <w:rFonts w:ascii="Times New Roman" w:eastAsiaTheme="minorEastAsia" w:hAnsi="Times New Roman" w:cs="Times New Roman"/>
          <w:sz w:val="28"/>
          <w:szCs w:val="28"/>
        </w:rPr>
        <w:t>меньше длины</w:t>
      </w:r>
      <w:r w:rsidRPr="000678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свободного пробега электронов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0678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81788">
        <w:rPr>
          <w:rFonts w:ascii="Times New Roman" w:eastAsiaTheme="minorEastAsia" w:hAnsi="Times New Roman" w:cs="Times New Roman"/>
          <w:sz w:val="28"/>
          <w:szCs w:val="28"/>
        </w:rPr>
        <w:t xml:space="preserve">В этом режиме </w:t>
      </w:r>
      <w:r w:rsidR="00A729C1">
        <w:rPr>
          <w:rFonts w:ascii="Times New Roman" w:eastAsiaTheme="minorEastAsia" w:hAnsi="Times New Roman" w:cs="Times New Roman"/>
          <w:sz w:val="28"/>
          <w:szCs w:val="28"/>
        </w:rPr>
        <w:t xml:space="preserve">рассеяние электронов на примесях мало по сравнению с рассеянием на стенках структуры. </w:t>
      </w:r>
    </w:p>
    <w:p w14:paraId="66C58B85" w14:textId="2AB97B70" w:rsidR="00A729C1" w:rsidRPr="0006781B" w:rsidRDefault="00A729C1" w:rsidP="00C81788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 помещении ДЭГ в поперечное магнитное поле, электроны начинают двигаться по круговым орбитам. Так как рассеяние на примесях в баллистическом режиме мало, то в нем можно проводить измерения, связанные с магнитной фокусировкой.</w:t>
      </w:r>
    </w:p>
    <w:p w14:paraId="4C4A97B5" w14:textId="4E63949C" w:rsidR="00A729C1" w:rsidRPr="0096538D" w:rsidRDefault="00A729C1" w:rsidP="00A729C1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Рассмотрим, как циклотронные диаметры траекторий электронов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двумерном электронном газе зависят от величины магнитного поля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96538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Уравнение движения электронов в магнитном поле</w:t>
      </w:r>
      <w:r w:rsidRPr="0096538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4AAE813" w14:textId="77777777" w:rsidR="00A729C1" w:rsidRPr="0096538D" w:rsidRDefault="00A729C1" w:rsidP="00A729C1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/2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=eBv=&gt;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eB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</m:oMath>
      </m:oMathPara>
    </w:p>
    <w:p w14:paraId="0B95FB45" w14:textId="77777777" w:rsidR="00A729C1" w:rsidRPr="0096538D" w:rsidRDefault="00A729C1" w:rsidP="00A729C1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</m:oMath>
      <w:r w:rsidRPr="0096538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ферми-импульс электронов. Определим его выражение для концентрации электронов в ДЭГ</w:t>
      </w:r>
      <w:r w:rsidRPr="0096538D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13D53BCB" w14:textId="77777777" w:rsidR="00A729C1" w:rsidRPr="0096538D" w:rsidRDefault="00A729C1" w:rsidP="00A729C1">
      <w:pPr>
        <w:spacing w:after="0" w:line="360" w:lineRule="auto"/>
        <w:ind w:firstLine="284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2πh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6639749" w14:textId="77777777" w:rsidR="00A729C1" w:rsidRDefault="00A729C1" w:rsidP="00A729C1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Это выражение получается из того, что концентрация электронов в единице объема двумерной системы равна отношению допустимого объема пространства импульсов к элементарному объему фазового пространства с учетом спинового вырождения. Таким образом диаметры траекторий выражаются через концентрацию</w:t>
      </w:r>
    </w:p>
    <w:p w14:paraId="7EFC364C" w14:textId="65AFC2BA" w:rsidR="009D71BA" w:rsidRPr="009D71BA" w:rsidRDefault="00A729C1" w:rsidP="00A729C1">
      <w:pPr>
        <w:pStyle w:val="a3"/>
        <w:spacing w:after="0" w:line="360" w:lineRule="auto"/>
        <w:ind w:left="1064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2πn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eB</m:t>
              </m:r>
            </m:den>
          </m:f>
        </m:oMath>
      </m:oMathPara>
    </w:p>
    <w:p w14:paraId="1FA5E0F8" w14:textId="6EC36190" w:rsidR="003B1CC0" w:rsidRPr="003B1CC0" w:rsidRDefault="00CF6DAD" w:rsidP="003B1CC0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3B1CC0">
        <w:rPr>
          <w:rFonts w:ascii="Times New Roman" w:eastAsiaTheme="minorEastAsia" w:hAnsi="Times New Roman" w:cs="Times New Roman"/>
          <w:b/>
          <w:bCs/>
          <w:sz w:val="28"/>
          <w:szCs w:val="28"/>
        </w:rPr>
        <w:t>Образцы</w:t>
      </w:r>
    </w:p>
    <w:p w14:paraId="1785D390" w14:textId="09268E8D" w:rsidR="00CF6DAD" w:rsidRDefault="003B1CC0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1CC0">
        <w:rPr>
          <w:rFonts w:ascii="Times New Roman" w:eastAsiaTheme="minorEastAsia" w:hAnsi="Times New Roman" w:cs="Times New Roman"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1C62A018" wp14:editId="54771BA5">
            <wp:simplePos x="0" y="0"/>
            <wp:positionH relativeFrom="column">
              <wp:posOffset>3437255</wp:posOffset>
            </wp:positionH>
            <wp:positionV relativeFrom="paragraph">
              <wp:posOffset>198533</wp:posOffset>
            </wp:positionV>
            <wp:extent cx="2682875" cy="1674495"/>
            <wp:effectExtent l="0" t="0" r="0" b="0"/>
            <wp:wrapTight wrapText="bothSides">
              <wp:wrapPolygon edited="0">
                <wp:start x="0" y="0"/>
                <wp:lineTo x="0" y="21379"/>
                <wp:lineTo x="21472" y="21379"/>
                <wp:lineTo x="2147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Изготовление образцов производилось выращиванием </w:t>
      </w:r>
      <w:proofErr w:type="spellStart"/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гетероструктур</w:t>
      </w:r>
      <w:proofErr w:type="spellEnd"/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с помощью молекулярно-лучевой эпитаксии. 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Схема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гетероструктуры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представлена на рисунке</w:t>
      </w:r>
      <w:r w:rsidR="006B5B5C">
        <w:rPr>
          <w:rFonts w:ascii="Times New Roman" w:eastAsiaTheme="minorEastAsia" w:hAnsi="Times New Roman" w:cs="Times New Roman"/>
          <w:sz w:val="28"/>
          <w:szCs w:val="28"/>
        </w:rPr>
        <w:t xml:space="preserve">. Для создания ДЭГ с высокой подвижностью и концентрацией электронов с обоих сторон от квантовой ямы располагались чередующиеся </w:t>
      </w:r>
      <w:proofErr w:type="spellStart"/>
      <w:r w:rsidR="006B5B5C">
        <w:rPr>
          <w:rFonts w:ascii="Times New Roman" w:eastAsiaTheme="minorEastAsia" w:hAnsi="Times New Roman" w:cs="Times New Roman"/>
          <w:sz w:val="28"/>
          <w:szCs w:val="28"/>
          <w:lang w:val="en-US"/>
        </w:rPr>
        <w:t>AlGaAs</w:t>
      </w:r>
      <w:proofErr w:type="spellEnd"/>
      <w:r w:rsidR="006B5B5C" w:rsidRPr="006B5B5C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6B5B5C">
        <w:rPr>
          <w:rFonts w:ascii="Times New Roman" w:eastAsiaTheme="minorEastAsia" w:hAnsi="Times New Roman" w:cs="Times New Roman"/>
          <w:sz w:val="28"/>
          <w:szCs w:val="28"/>
          <w:lang w:val="en-US"/>
        </w:rPr>
        <w:t>GaAs</w:t>
      </w:r>
      <w:r w:rsidR="006B5B5C" w:rsidRPr="006B5B5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B5B5C">
        <w:rPr>
          <w:rFonts w:ascii="Times New Roman" w:eastAsiaTheme="minorEastAsia" w:hAnsi="Times New Roman" w:cs="Times New Roman"/>
          <w:sz w:val="28"/>
          <w:szCs w:val="28"/>
        </w:rPr>
        <w:t xml:space="preserve">слои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δ-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слоями</m:t>
        </m:r>
      </m:oMath>
      <w:r w:rsidR="006B5B5C">
        <w:rPr>
          <w:rFonts w:ascii="Times New Roman" w:eastAsiaTheme="minorEastAsia" w:hAnsi="Times New Roman" w:cs="Times New Roman"/>
          <w:sz w:val="28"/>
          <w:szCs w:val="28"/>
        </w:rPr>
        <w:t xml:space="preserve"> кремния.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7376F0C" w14:textId="040ED080" w:rsidR="006D059A" w:rsidRPr="00CF6DAD" w:rsidRDefault="001D2BDA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изучения магнитной фокусировки необходимо сформировать в ДЭГ микроструктуры. Были разработаны несколько типов геометрий для последующего формирования их в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гетероструктуре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bookmarkStart w:id="4" w:name="_GoBack"/>
      <w:bookmarkEnd w:id="4"/>
    </w:p>
    <w:p w14:paraId="0411FE61" w14:textId="54E17C43" w:rsidR="00CF6DAD" w:rsidRPr="00CF6DAD" w:rsidRDefault="003B1CC0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noProof/>
        </w:rPr>
        <w:drawing>
          <wp:anchor distT="0" distB="0" distL="114300" distR="114300" simplePos="0" relativeHeight="251669504" behindDoc="0" locked="0" layoutInCell="1" allowOverlap="1" wp14:anchorId="019CACC9" wp14:editId="2D118B2D">
            <wp:simplePos x="0" y="0"/>
            <wp:positionH relativeFrom="margin">
              <wp:posOffset>3491614</wp:posOffset>
            </wp:positionH>
            <wp:positionV relativeFrom="margin">
              <wp:posOffset>4894654</wp:posOffset>
            </wp:positionV>
            <wp:extent cx="2438400" cy="24193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Для создания геометрии в ДЭГ использовался метод фотолитографии.  </w:t>
      </w:r>
      <w:proofErr w:type="spellStart"/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Гетероструктура</w:t>
      </w:r>
      <w:proofErr w:type="spellEnd"/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была разбита на квадратные образцы со стороной 2,5 мм. Каждый образец состоял из 12 проводящих областей, сужающихся к центральной области. В центре образца формировалась геометрия для изучения магнетосопротивления. На рисунке () показана геометрия одного из изготовленных образцов. Белые области на рисунке - двумерный электронный газ</w:t>
      </w:r>
      <w:r w:rsidR="00B25E65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25E65">
        <w:rPr>
          <w:rFonts w:ascii="Times New Roman" w:eastAsiaTheme="minorEastAsia" w:hAnsi="Times New Roman" w:cs="Times New Roman"/>
          <w:sz w:val="28"/>
          <w:szCs w:val="28"/>
        </w:rPr>
        <w:t xml:space="preserve">красные – вытравленные непроводящие области, зеленые – проводящие области, примыкающие к ДЭГ. 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Такая геометрия подходит для различных измерений: продольного сопротивления, </w:t>
      </w:r>
      <w:proofErr w:type="spellStart"/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холловского</w:t>
      </w:r>
      <w:proofErr w:type="spellEnd"/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сопротивления, нелокального сопротивления. Ширина контактов составляла от 2 до 6 мкм.  Характерное продольное сопротивление между парой контактов составляло 1 кОм. </w:t>
      </w:r>
    </w:p>
    <w:p w14:paraId="41587228" w14:textId="7EC711FF" w:rsidR="00CF6DAD" w:rsidRPr="00CF6DAD" w:rsidRDefault="003B1CC0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7216" behindDoc="0" locked="0" layoutInCell="1" allowOverlap="1" wp14:anchorId="56AB3853" wp14:editId="7D71F51A">
            <wp:simplePos x="0" y="0"/>
            <wp:positionH relativeFrom="margin">
              <wp:posOffset>3512598</wp:posOffset>
            </wp:positionH>
            <wp:positionV relativeFrom="margin">
              <wp:posOffset>7057272</wp:posOffset>
            </wp:positionV>
            <wp:extent cx="2438400" cy="244792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Использованный метод фотолитографии позволяет задавать геометрию образца с разрешением 1 мкм. </w:t>
      </w:r>
    </w:p>
    <w:p w14:paraId="792034BB" w14:textId="0BEF016B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</w:rPr>
        <w:tab/>
      </w:r>
      <w:r w:rsidRPr="00CF6DAD">
        <w:rPr>
          <w:rFonts w:ascii="Times New Roman" w:eastAsiaTheme="minorEastAsia" w:hAnsi="Times New Roman" w:cs="Times New Roman"/>
          <w:sz w:val="28"/>
          <w:szCs w:val="28"/>
        </w:rPr>
        <w:t>Ко внешним, наиболее широким проводящим частям образца припаивались металлические контакты, в дальнейшем используемые для измерений.</w:t>
      </w:r>
      <w:r w:rsidR="00AA78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393DFB8" w14:textId="3A584E21" w:rsidR="00CF6DAD" w:rsidRPr="00937B52" w:rsidRDefault="00CF6DAD" w:rsidP="00937B5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37B52">
        <w:rPr>
          <w:rFonts w:ascii="Times New Roman" w:eastAsiaTheme="minorEastAsia" w:hAnsi="Times New Roman" w:cs="Times New Roman"/>
          <w:b/>
          <w:bCs/>
          <w:sz w:val="28"/>
          <w:szCs w:val="28"/>
        </w:rPr>
        <w:t>Методика измерений</w:t>
      </w:r>
    </w:p>
    <w:p w14:paraId="3AFA845D" w14:textId="77777777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</w:rPr>
        <w:tab/>
      </w:r>
      <w:r w:rsidRPr="00CF6DAD">
        <w:rPr>
          <w:rFonts w:ascii="Times New Roman" w:eastAsiaTheme="minorEastAsia" w:hAnsi="Times New Roman" w:cs="Times New Roman"/>
          <w:sz w:val="28"/>
          <w:szCs w:val="28"/>
        </w:rPr>
        <w:t>Для исследования магнетосопротивления в двумерном электронном газе необходимы низкие температуры. Тепловое движение электронов полностью размывает необходимые эффекты при приближении к 80 K. </w:t>
      </w:r>
    </w:p>
    <w:p w14:paraId="37B4BA8E" w14:textId="77777777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  <w:sz w:val="28"/>
          <w:szCs w:val="28"/>
        </w:rPr>
        <w:t>При проведении эксперимента, серии данных были записаны при различных температурах от 1,6 до 80 К. </w:t>
      </w:r>
    </w:p>
    <w:p w14:paraId="2B659A1A" w14:textId="77777777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  <w:sz w:val="28"/>
          <w:szCs w:val="28"/>
        </w:rPr>
        <w:t>Установка позволяла проводить измерения магнетосопротивления в магнитных полях до 12 тесла. Прикладываемое переменное напряжение составляло 1 В.  Отклик в виде тока измерялся методом синхронного детектирования.</w:t>
      </w:r>
    </w:p>
    <w:p w14:paraId="73D599FB" w14:textId="07E5C06D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  <w:sz w:val="28"/>
          <w:szCs w:val="28"/>
        </w:rPr>
        <w:t>Образец погружался в низкотемпературную камеру с проводами, протянутыми от него через трубку к синхронному детектору. В течении длительного времени в камере устанавливалась температура 1,6 К. Проверка корректности работы всех контактов производилась двухточечным измерением сопротивления каждой пары контактов. При таком измерении наличие большого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F6DAD">
        <w:rPr>
          <w:rFonts w:ascii="Times New Roman" w:eastAsiaTheme="minorEastAsia" w:hAnsi="Times New Roman" w:cs="Times New Roman"/>
          <w:sz w:val="28"/>
          <w:szCs w:val="28"/>
        </w:rPr>
        <w:t>сопротивления (относительно других пар контактов) или большой фазы получаемого сигнала указывает на неисправность контакта. </w:t>
      </w:r>
    </w:p>
    <w:p w14:paraId="7A91E105" w14:textId="0F868C4D" w:rsidR="00AA7826" w:rsidRPr="00AA7826" w:rsidRDefault="00AA7826" w:rsidP="00AA7826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Измерения проводились по четырем точкам</w:t>
      </w:r>
      <w:r w:rsidRPr="00AA7826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на два контакта подавалось переменное напряжение и с двух контактов снимался ток.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агнитное поле медленно менялось, а получаемый сигнал усреднялся по времени синхронным детектором для уменьшения погрешности. После записи каждой кривой, температура в камере 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lastRenderedPageBreak/>
        <w:t>изменялась и измерения производились вновь. </w:t>
      </w:r>
    </w:p>
    <w:p w14:paraId="476C0045" w14:textId="1F709255" w:rsidR="00CF6DAD" w:rsidRPr="00937B52" w:rsidRDefault="00CF6DAD" w:rsidP="00937B5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37B52">
        <w:rPr>
          <w:rFonts w:ascii="Times New Roman" w:eastAsiaTheme="minorEastAsia" w:hAnsi="Times New Roman" w:cs="Times New Roman"/>
          <w:b/>
          <w:bCs/>
          <w:sz w:val="28"/>
          <w:szCs w:val="28"/>
        </w:rPr>
        <w:t>Баллистические траектории</w:t>
      </w:r>
    </w:p>
    <w:p w14:paraId="2F228796" w14:textId="16840F5D" w:rsidR="00407049" w:rsidRPr="00407049" w:rsidRDefault="00407049" w:rsidP="004C382E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07049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83840" behindDoc="1" locked="0" layoutInCell="1" allowOverlap="1" wp14:anchorId="2A97B496" wp14:editId="4680ADD1">
            <wp:simplePos x="0" y="0"/>
            <wp:positionH relativeFrom="column">
              <wp:posOffset>723678</wp:posOffset>
            </wp:positionH>
            <wp:positionV relativeFrom="paragraph">
              <wp:posOffset>1003167</wp:posOffset>
            </wp:positionV>
            <wp:extent cx="4671695" cy="2851150"/>
            <wp:effectExtent l="0" t="0" r="0" b="0"/>
            <wp:wrapTight wrapText="bothSides">
              <wp:wrapPolygon edited="0">
                <wp:start x="0" y="0"/>
                <wp:lineTo x="0" y="21504"/>
                <wp:lineTo x="21491" y="21504"/>
                <wp:lineTo x="21491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69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Эффекты, связанные с магнитной фокусировкой, обусловлены наличием баллистических траекторий между контактами. В качестве примера рассмотрим траектории, возникающие в геометрии в виде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холловских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мостиков.</w:t>
      </w:r>
      <w:r w:rsidRPr="004C38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3DFA485" w14:textId="08272FC5" w:rsidR="004C382E" w:rsidRDefault="004C382E" w:rsidP="004C382E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Расстояние между контактами и ширина контактов совпадают и равны 2 мкм. Также, для определенности, будем рассматривать электроны, вылетающие из контакта под прямым углом.</w:t>
      </w:r>
    </w:p>
    <w:p w14:paraId="74E21EB0" w14:textId="574609DE" w:rsidR="00AF34C7" w:rsidRDefault="004C382E" w:rsidP="004C382E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Пусть переменное напряжение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прикладывается к контактам 1-2, а ток</w:t>
      </w:r>
      <w:r w:rsidRPr="004C38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снимается с правых двух контактов 3-4. </w:t>
      </w:r>
      <w:r w:rsidR="00AF34C7">
        <w:rPr>
          <w:rFonts w:ascii="Times New Roman" w:eastAsiaTheme="minorEastAsia" w:hAnsi="Times New Roman" w:cs="Times New Roman"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отсутствии магнитного поля ток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4C38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полностью отсутствует, так как ток между контактами 1-2 никак не влияет на</w:t>
      </w:r>
      <w:r w:rsidR="00AF34C7">
        <w:rPr>
          <w:rFonts w:ascii="Times New Roman" w:eastAsiaTheme="minorEastAsia" w:hAnsi="Times New Roman" w:cs="Times New Roman"/>
          <w:sz w:val="28"/>
          <w:szCs w:val="28"/>
        </w:rPr>
        <w:t xml:space="preserve"> контакты 3-4. При включении магнитного поля, электроны начинают двигаться по круговым орбитам и при некоторой величине поля попадают в 3-й контакт. Необходимо заметить, что в действительности на движение электронов влияет наличие верхней стенки, ограничивающее возможные траектории по диаметру. При дальнейшем увеличении магнитного поля диаметры будут уменьшаться и при некоторой величине поля диаметр станет минимально возможным для беспрепятственного пролета электрона между контактами, то есть равным </w:t>
      </w:r>
      <w:r w:rsidR="00F05901" w:rsidRPr="00F05901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86912" behindDoc="1" locked="0" layoutInCell="1" allowOverlap="1" wp14:anchorId="0E4E6A66" wp14:editId="54C4FAB1">
            <wp:simplePos x="0" y="0"/>
            <wp:positionH relativeFrom="column">
              <wp:posOffset>779559</wp:posOffset>
            </wp:positionH>
            <wp:positionV relativeFrom="paragraph">
              <wp:posOffset>1279407</wp:posOffset>
            </wp:positionV>
            <wp:extent cx="4568190" cy="2792730"/>
            <wp:effectExtent l="0" t="0" r="0" b="0"/>
            <wp:wrapTight wrapText="bothSides">
              <wp:wrapPolygon edited="0">
                <wp:start x="0" y="0"/>
                <wp:lineTo x="0" y="21512"/>
                <wp:lineTo x="21528" y="21512"/>
                <wp:lineTo x="21528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19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34C7">
        <w:rPr>
          <w:rFonts w:ascii="Times New Roman" w:eastAsiaTheme="minorEastAsia" w:hAnsi="Times New Roman" w:cs="Times New Roman"/>
          <w:sz w:val="28"/>
          <w:szCs w:val="28"/>
        </w:rPr>
        <w:t xml:space="preserve">расстоянию между контактами. </w:t>
      </w:r>
    </w:p>
    <w:p w14:paraId="2ACBB836" w14:textId="6B3F2BE8" w:rsidR="00F05901" w:rsidRDefault="00F05901" w:rsidP="00831DAC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Рассмотрим вклады вышеописанных траекторий в суммарный ток. Как видно из рисунка, траектория с минимально возможным диаметром всего одна</w:t>
      </w:r>
      <w:r w:rsidRPr="00F05901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от края одного контакта, до края другого. Таким образом ее вклад минимален. Траектория</w:t>
      </w:r>
      <w:r w:rsidR="00831DAC">
        <w:rPr>
          <w:rFonts w:ascii="Times New Roman" w:eastAsiaTheme="minorEastAsia" w:hAnsi="Times New Roman" w:cs="Times New Roman"/>
          <w:sz w:val="28"/>
          <w:szCs w:val="28"/>
        </w:rPr>
        <w:t xml:space="preserve"> с диаметром 4 мкм. (расстояние между центрами двух контактов) </w:t>
      </w:r>
      <w:r>
        <w:rPr>
          <w:rFonts w:ascii="Times New Roman" w:eastAsiaTheme="minorEastAsia" w:hAnsi="Times New Roman" w:cs="Times New Roman"/>
          <w:sz w:val="28"/>
          <w:szCs w:val="28"/>
        </w:rPr>
        <w:t>име</w:t>
      </w:r>
      <w:r w:rsidR="00831DAC">
        <w:rPr>
          <w:rFonts w:ascii="Times New Roman" w:eastAsiaTheme="minorEastAsia" w:hAnsi="Times New Roman" w:cs="Times New Roman"/>
          <w:sz w:val="28"/>
          <w:szCs w:val="28"/>
        </w:rPr>
        <w:t xml:space="preserve">ет </w:t>
      </w:r>
      <w:r>
        <w:rPr>
          <w:rFonts w:ascii="Times New Roman" w:eastAsiaTheme="minorEastAsia" w:hAnsi="Times New Roman" w:cs="Times New Roman"/>
          <w:sz w:val="28"/>
          <w:szCs w:val="28"/>
        </w:rPr>
        <w:t>наибольший вклад</w:t>
      </w:r>
      <w:r w:rsidR="00831DAC">
        <w:rPr>
          <w:rFonts w:ascii="Times New Roman" w:eastAsiaTheme="minorEastAsia" w:hAnsi="Times New Roman" w:cs="Times New Roman"/>
          <w:sz w:val="28"/>
          <w:szCs w:val="28"/>
        </w:rPr>
        <w:t>, так как электроны с такой траекторией доберутся до другого контакта вне зависимости от исходной координаты вылета. Траектории с большим диаметром могут дать вклад в ток лишь с учетом рассеяния на стенках.</w:t>
      </w:r>
    </w:p>
    <w:p w14:paraId="71844536" w14:textId="645B321D" w:rsidR="00831DAC" w:rsidRDefault="00831DAC" w:rsidP="00831DAC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Из описанных рассуждений можно ожидать пик в  магнетосопротивлении при значении магнитного поля соответствующего траектории с диаметром 4 мкм.  </w:t>
      </w:r>
    </w:p>
    <w:p w14:paraId="588D5A77" w14:textId="7691A3EC" w:rsidR="00905A2D" w:rsidRPr="003E21B3" w:rsidRDefault="00AA61C5" w:rsidP="0096538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61B61CEF" w14:textId="1D0DD81E" w:rsidR="003E21B3" w:rsidRPr="00905A2D" w:rsidRDefault="003E21B3" w:rsidP="0096538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sectPr w:rsidR="003E21B3" w:rsidRPr="00905A2D" w:rsidSect="00CF6DAD">
      <w:headerReference w:type="default" r:id="rId13"/>
      <w:pgSz w:w="11906" w:h="16838"/>
      <w:pgMar w:top="1134" w:right="851" w:bottom="1304" w:left="1418" w:header="680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8F4D1" w14:textId="77777777" w:rsidR="00472751" w:rsidRDefault="00472751" w:rsidP="00564FFB">
      <w:pPr>
        <w:spacing w:after="0" w:line="240" w:lineRule="auto"/>
      </w:pPr>
      <w:r>
        <w:separator/>
      </w:r>
    </w:p>
  </w:endnote>
  <w:endnote w:type="continuationSeparator" w:id="0">
    <w:p w14:paraId="58A73C81" w14:textId="77777777" w:rsidR="00472751" w:rsidRDefault="00472751" w:rsidP="00564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E3F93F" w14:textId="77777777" w:rsidR="00472751" w:rsidRDefault="00472751" w:rsidP="00564FFB">
      <w:pPr>
        <w:spacing w:after="0" w:line="240" w:lineRule="auto"/>
      </w:pPr>
      <w:r>
        <w:separator/>
      </w:r>
    </w:p>
  </w:footnote>
  <w:footnote w:type="continuationSeparator" w:id="0">
    <w:p w14:paraId="46C272D3" w14:textId="77777777" w:rsidR="00472751" w:rsidRDefault="00472751" w:rsidP="00564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33986688"/>
      <w:docPartObj>
        <w:docPartGallery w:val="Page Numbers (Top of Page)"/>
        <w:docPartUnique/>
      </w:docPartObj>
    </w:sdtPr>
    <w:sdtEndPr/>
    <w:sdtContent>
      <w:p w14:paraId="0C8D13E6" w14:textId="77777777" w:rsidR="00202855" w:rsidRDefault="006647E3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0E1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410359" w14:textId="77777777" w:rsidR="00202855" w:rsidRDefault="0020285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C2884"/>
    <w:multiLevelType w:val="hybridMultilevel"/>
    <w:tmpl w:val="EFE01578"/>
    <w:lvl w:ilvl="0" w:tplc="0419000F">
      <w:start w:val="1"/>
      <w:numFmt w:val="decimal"/>
      <w:lvlText w:val="%1."/>
      <w:lvlJc w:val="left"/>
      <w:pPr>
        <w:ind w:left="152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255C60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C00B4A"/>
    <w:multiLevelType w:val="hybridMultilevel"/>
    <w:tmpl w:val="23A6F7BA"/>
    <w:lvl w:ilvl="0" w:tplc="330A6758">
      <w:start w:val="1"/>
      <w:numFmt w:val="decimal"/>
      <w:suff w:val="space"/>
      <w:lvlText w:val="%1."/>
      <w:lvlJc w:val="left"/>
      <w:pPr>
        <w:ind w:left="57" w:firstLine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8" w:hanging="360"/>
      </w:pPr>
    </w:lvl>
    <w:lvl w:ilvl="2" w:tplc="0419001B" w:tentative="1">
      <w:start w:val="1"/>
      <w:numFmt w:val="lowerRoman"/>
      <w:lvlText w:val="%3."/>
      <w:lvlJc w:val="right"/>
      <w:pPr>
        <w:ind w:left="2548" w:hanging="180"/>
      </w:pPr>
    </w:lvl>
    <w:lvl w:ilvl="3" w:tplc="0419000F" w:tentative="1">
      <w:start w:val="1"/>
      <w:numFmt w:val="decimal"/>
      <w:lvlText w:val="%4."/>
      <w:lvlJc w:val="left"/>
      <w:pPr>
        <w:ind w:left="3268" w:hanging="360"/>
      </w:pPr>
    </w:lvl>
    <w:lvl w:ilvl="4" w:tplc="04190019" w:tentative="1">
      <w:start w:val="1"/>
      <w:numFmt w:val="lowerLetter"/>
      <w:lvlText w:val="%5."/>
      <w:lvlJc w:val="left"/>
      <w:pPr>
        <w:ind w:left="3988" w:hanging="360"/>
      </w:pPr>
    </w:lvl>
    <w:lvl w:ilvl="5" w:tplc="0419001B" w:tentative="1">
      <w:start w:val="1"/>
      <w:numFmt w:val="lowerRoman"/>
      <w:lvlText w:val="%6."/>
      <w:lvlJc w:val="right"/>
      <w:pPr>
        <w:ind w:left="4708" w:hanging="180"/>
      </w:pPr>
    </w:lvl>
    <w:lvl w:ilvl="6" w:tplc="0419000F" w:tentative="1">
      <w:start w:val="1"/>
      <w:numFmt w:val="decimal"/>
      <w:lvlText w:val="%7."/>
      <w:lvlJc w:val="left"/>
      <w:pPr>
        <w:ind w:left="5428" w:hanging="360"/>
      </w:pPr>
    </w:lvl>
    <w:lvl w:ilvl="7" w:tplc="04190019" w:tentative="1">
      <w:start w:val="1"/>
      <w:numFmt w:val="lowerLetter"/>
      <w:lvlText w:val="%8."/>
      <w:lvlJc w:val="left"/>
      <w:pPr>
        <w:ind w:left="6148" w:hanging="360"/>
      </w:pPr>
    </w:lvl>
    <w:lvl w:ilvl="8" w:tplc="041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3" w15:restartNumberingAfterBreak="0">
    <w:nsid w:val="50DF47C4"/>
    <w:multiLevelType w:val="hybridMultilevel"/>
    <w:tmpl w:val="E166C998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551D6E82"/>
    <w:multiLevelType w:val="multilevel"/>
    <w:tmpl w:val="C6B2517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2160"/>
      </w:pPr>
      <w:rPr>
        <w:rFonts w:hint="default"/>
      </w:rPr>
    </w:lvl>
  </w:abstractNum>
  <w:abstractNum w:abstractNumId="5" w15:restartNumberingAfterBreak="0">
    <w:nsid w:val="66D83A06"/>
    <w:multiLevelType w:val="multilevel"/>
    <w:tmpl w:val="755E32F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2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6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8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72" w:firstLine="0"/>
      </w:pPr>
      <w:rPr>
        <w:rFonts w:hint="default"/>
      </w:rPr>
    </w:lvl>
  </w:abstractNum>
  <w:abstractNum w:abstractNumId="6" w15:restartNumberingAfterBreak="0">
    <w:nsid w:val="77CF02D0"/>
    <w:multiLevelType w:val="hybridMultilevel"/>
    <w:tmpl w:val="1BD8B30C"/>
    <w:lvl w:ilvl="0" w:tplc="AF4C958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E25"/>
    <w:rsid w:val="00007BD5"/>
    <w:rsid w:val="00012CE3"/>
    <w:rsid w:val="000242EE"/>
    <w:rsid w:val="00050F52"/>
    <w:rsid w:val="00052FAB"/>
    <w:rsid w:val="00053244"/>
    <w:rsid w:val="0006781B"/>
    <w:rsid w:val="00080D99"/>
    <w:rsid w:val="00090940"/>
    <w:rsid w:val="000B261D"/>
    <w:rsid w:val="000E0CA6"/>
    <w:rsid w:val="000E6FA5"/>
    <w:rsid w:val="000E797D"/>
    <w:rsid w:val="001348B9"/>
    <w:rsid w:val="001366EA"/>
    <w:rsid w:val="00142F64"/>
    <w:rsid w:val="00144AEA"/>
    <w:rsid w:val="001644E6"/>
    <w:rsid w:val="001751A3"/>
    <w:rsid w:val="00184E9D"/>
    <w:rsid w:val="001864EF"/>
    <w:rsid w:val="00194A53"/>
    <w:rsid w:val="00195828"/>
    <w:rsid w:val="001B3285"/>
    <w:rsid w:val="001C350D"/>
    <w:rsid w:val="001C3824"/>
    <w:rsid w:val="001C64CE"/>
    <w:rsid w:val="001D0292"/>
    <w:rsid w:val="001D2BDA"/>
    <w:rsid w:val="00202855"/>
    <w:rsid w:val="00203FCA"/>
    <w:rsid w:val="00205262"/>
    <w:rsid w:val="00245998"/>
    <w:rsid w:val="00264C73"/>
    <w:rsid w:val="002B5236"/>
    <w:rsid w:val="002D79C9"/>
    <w:rsid w:val="002E5308"/>
    <w:rsid w:val="002E64E7"/>
    <w:rsid w:val="002E66C0"/>
    <w:rsid w:val="002E7793"/>
    <w:rsid w:val="002F6166"/>
    <w:rsid w:val="002F6474"/>
    <w:rsid w:val="003155CD"/>
    <w:rsid w:val="003238FD"/>
    <w:rsid w:val="00323913"/>
    <w:rsid w:val="003534AB"/>
    <w:rsid w:val="0037083F"/>
    <w:rsid w:val="00383D1E"/>
    <w:rsid w:val="003B1CC0"/>
    <w:rsid w:val="003C360D"/>
    <w:rsid w:val="003C5B5D"/>
    <w:rsid w:val="003D5165"/>
    <w:rsid w:val="003E21B3"/>
    <w:rsid w:val="003E2E6D"/>
    <w:rsid w:val="003E669A"/>
    <w:rsid w:val="00402D1D"/>
    <w:rsid w:val="0040454D"/>
    <w:rsid w:val="00407049"/>
    <w:rsid w:val="00413A9D"/>
    <w:rsid w:val="004152B0"/>
    <w:rsid w:val="00423E80"/>
    <w:rsid w:val="00427E25"/>
    <w:rsid w:val="0044151C"/>
    <w:rsid w:val="00465D1F"/>
    <w:rsid w:val="00472751"/>
    <w:rsid w:val="00473B46"/>
    <w:rsid w:val="004846BF"/>
    <w:rsid w:val="00497CD3"/>
    <w:rsid w:val="004A206E"/>
    <w:rsid w:val="004B3541"/>
    <w:rsid w:val="004C382E"/>
    <w:rsid w:val="004C7426"/>
    <w:rsid w:val="004D2D94"/>
    <w:rsid w:val="004E48D8"/>
    <w:rsid w:val="004F4454"/>
    <w:rsid w:val="004F5F31"/>
    <w:rsid w:val="005009CA"/>
    <w:rsid w:val="005078AA"/>
    <w:rsid w:val="00513DB9"/>
    <w:rsid w:val="00522BA5"/>
    <w:rsid w:val="00523EE8"/>
    <w:rsid w:val="00543F22"/>
    <w:rsid w:val="00564FFB"/>
    <w:rsid w:val="005A237E"/>
    <w:rsid w:val="005C4A6F"/>
    <w:rsid w:val="00610B7B"/>
    <w:rsid w:val="006172A7"/>
    <w:rsid w:val="0063075E"/>
    <w:rsid w:val="0064025E"/>
    <w:rsid w:val="0064653E"/>
    <w:rsid w:val="006647E3"/>
    <w:rsid w:val="0066675B"/>
    <w:rsid w:val="00677A28"/>
    <w:rsid w:val="00686B8A"/>
    <w:rsid w:val="006B5B5C"/>
    <w:rsid w:val="006C6E60"/>
    <w:rsid w:val="006D059A"/>
    <w:rsid w:val="006D24D9"/>
    <w:rsid w:val="006D4F77"/>
    <w:rsid w:val="006E1E87"/>
    <w:rsid w:val="006E32CE"/>
    <w:rsid w:val="006F3B3C"/>
    <w:rsid w:val="006F71A2"/>
    <w:rsid w:val="007017B0"/>
    <w:rsid w:val="00715423"/>
    <w:rsid w:val="00761A41"/>
    <w:rsid w:val="00762767"/>
    <w:rsid w:val="00765BE9"/>
    <w:rsid w:val="00765F28"/>
    <w:rsid w:val="007716B7"/>
    <w:rsid w:val="00793DBE"/>
    <w:rsid w:val="00794524"/>
    <w:rsid w:val="007B01A6"/>
    <w:rsid w:val="007C5576"/>
    <w:rsid w:val="007D1F6C"/>
    <w:rsid w:val="007F524F"/>
    <w:rsid w:val="00831DAC"/>
    <w:rsid w:val="0084528A"/>
    <w:rsid w:val="008647D6"/>
    <w:rsid w:val="008978C6"/>
    <w:rsid w:val="00897BB9"/>
    <w:rsid w:val="008B7A46"/>
    <w:rsid w:val="008C660A"/>
    <w:rsid w:val="008D09B2"/>
    <w:rsid w:val="00902CC0"/>
    <w:rsid w:val="00905A2D"/>
    <w:rsid w:val="00906955"/>
    <w:rsid w:val="00915C4E"/>
    <w:rsid w:val="009338EB"/>
    <w:rsid w:val="00937B52"/>
    <w:rsid w:val="00945757"/>
    <w:rsid w:val="0095335E"/>
    <w:rsid w:val="00955640"/>
    <w:rsid w:val="0096538D"/>
    <w:rsid w:val="00967FB2"/>
    <w:rsid w:val="00973CA6"/>
    <w:rsid w:val="00980CD2"/>
    <w:rsid w:val="009933FD"/>
    <w:rsid w:val="009A5527"/>
    <w:rsid w:val="009A7582"/>
    <w:rsid w:val="009D71BA"/>
    <w:rsid w:val="009E40F3"/>
    <w:rsid w:val="009F2DE2"/>
    <w:rsid w:val="00A04CB5"/>
    <w:rsid w:val="00A24E21"/>
    <w:rsid w:val="00A339C4"/>
    <w:rsid w:val="00A439ED"/>
    <w:rsid w:val="00A46BAE"/>
    <w:rsid w:val="00A729C1"/>
    <w:rsid w:val="00A826AE"/>
    <w:rsid w:val="00A82C1D"/>
    <w:rsid w:val="00A87556"/>
    <w:rsid w:val="00A91AAF"/>
    <w:rsid w:val="00A94C69"/>
    <w:rsid w:val="00A94E81"/>
    <w:rsid w:val="00AA35AA"/>
    <w:rsid w:val="00AA61C5"/>
    <w:rsid w:val="00AA7826"/>
    <w:rsid w:val="00AC6518"/>
    <w:rsid w:val="00AF1E62"/>
    <w:rsid w:val="00AF34C7"/>
    <w:rsid w:val="00AF3724"/>
    <w:rsid w:val="00AF6C42"/>
    <w:rsid w:val="00AF7713"/>
    <w:rsid w:val="00B17002"/>
    <w:rsid w:val="00B247F9"/>
    <w:rsid w:val="00B25E65"/>
    <w:rsid w:val="00B3118E"/>
    <w:rsid w:val="00B3583C"/>
    <w:rsid w:val="00B50630"/>
    <w:rsid w:val="00B64B99"/>
    <w:rsid w:val="00B9527F"/>
    <w:rsid w:val="00BA04E3"/>
    <w:rsid w:val="00BB2C92"/>
    <w:rsid w:val="00BB3324"/>
    <w:rsid w:val="00BC6AFD"/>
    <w:rsid w:val="00C20762"/>
    <w:rsid w:val="00C229CE"/>
    <w:rsid w:val="00C31388"/>
    <w:rsid w:val="00C566F2"/>
    <w:rsid w:val="00C81788"/>
    <w:rsid w:val="00CB1D36"/>
    <w:rsid w:val="00CC7444"/>
    <w:rsid w:val="00CE338A"/>
    <w:rsid w:val="00CE6186"/>
    <w:rsid w:val="00CE777A"/>
    <w:rsid w:val="00CF6DAD"/>
    <w:rsid w:val="00D055B0"/>
    <w:rsid w:val="00D06315"/>
    <w:rsid w:val="00D22395"/>
    <w:rsid w:val="00D30E1E"/>
    <w:rsid w:val="00D40003"/>
    <w:rsid w:val="00D522EC"/>
    <w:rsid w:val="00D77E59"/>
    <w:rsid w:val="00D80292"/>
    <w:rsid w:val="00D8164B"/>
    <w:rsid w:val="00DC1531"/>
    <w:rsid w:val="00DC3722"/>
    <w:rsid w:val="00DE5E14"/>
    <w:rsid w:val="00DF0BB1"/>
    <w:rsid w:val="00E00E7B"/>
    <w:rsid w:val="00E15337"/>
    <w:rsid w:val="00E23D3E"/>
    <w:rsid w:val="00E274E3"/>
    <w:rsid w:val="00E45E65"/>
    <w:rsid w:val="00E45FB2"/>
    <w:rsid w:val="00E64E26"/>
    <w:rsid w:val="00E71621"/>
    <w:rsid w:val="00E7174E"/>
    <w:rsid w:val="00E85211"/>
    <w:rsid w:val="00E93F38"/>
    <w:rsid w:val="00EA0ECF"/>
    <w:rsid w:val="00ED34F8"/>
    <w:rsid w:val="00EE535E"/>
    <w:rsid w:val="00EF53B1"/>
    <w:rsid w:val="00F05901"/>
    <w:rsid w:val="00F20CA9"/>
    <w:rsid w:val="00F20F00"/>
    <w:rsid w:val="00F30DD7"/>
    <w:rsid w:val="00F45F9F"/>
    <w:rsid w:val="00F464E2"/>
    <w:rsid w:val="00F55F89"/>
    <w:rsid w:val="00F61213"/>
    <w:rsid w:val="00F726B8"/>
    <w:rsid w:val="00F76024"/>
    <w:rsid w:val="00F76353"/>
    <w:rsid w:val="00F77FBE"/>
    <w:rsid w:val="00F838B4"/>
    <w:rsid w:val="00FA3DB0"/>
    <w:rsid w:val="00FD06D4"/>
    <w:rsid w:val="00FD7ED6"/>
    <w:rsid w:val="00FE2F2D"/>
    <w:rsid w:val="00FF53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05AE9"/>
  <w15:docId w15:val="{E57FC691-EAC7-493E-935B-722D4434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38A"/>
  </w:style>
  <w:style w:type="paragraph" w:styleId="1">
    <w:name w:val="heading 1"/>
    <w:basedOn w:val="a"/>
    <w:next w:val="a"/>
    <w:link w:val="10"/>
    <w:uiPriority w:val="9"/>
    <w:qFormat/>
    <w:rsid w:val="00564F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46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46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46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46B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E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27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7E2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1751A3"/>
    <w:rPr>
      <w:color w:val="808080"/>
    </w:rPr>
  </w:style>
  <w:style w:type="paragraph" w:styleId="a7">
    <w:name w:val="header"/>
    <w:basedOn w:val="a"/>
    <w:link w:val="a8"/>
    <w:uiPriority w:val="99"/>
    <w:unhideWhenUsed/>
    <w:rsid w:val="00564F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64FFB"/>
  </w:style>
  <w:style w:type="paragraph" w:styleId="a9">
    <w:name w:val="footer"/>
    <w:basedOn w:val="a"/>
    <w:link w:val="aa"/>
    <w:uiPriority w:val="99"/>
    <w:unhideWhenUsed/>
    <w:rsid w:val="00564F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64FFB"/>
  </w:style>
  <w:style w:type="character" w:customStyle="1" w:styleId="10">
    <w:name w:val="Заголовок 1 Знак"/>
    <w:basedOn w:val="a0"/>
    <w:link w:val="1"/>
    <w:uiPriority w:val="9"/>
    <w:rsid w:val="00564F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4846BF"/>
    <w:pPr>
      <w:tabs>
        <w:tab w:val="left" w:pos="440"/>
        <w:tab w:val="right" w:leader="dot" w:pos="9345"/>
      </w:tabs>
      <w:spacing w:after="100"/>
      <w:ind w:left="-284"/>
      <w:jc w:val="both"/>
    </w:pPr>
    <w:rPr>
      <w:rFonts w:ascii="Times New Roman" w:hAnsi="Times New Roman"/>
      <w:sz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A439ED"/>
    <w:pPr>
      <w:outlineLvl w:val="9"/>
    </w:pPr>
  </w:style>
  <w:style w:type="character" w:styleId="ac">
    <w:name w:val="Hyperlink"/>
    <w:basedOn w:val="a0"/>
    <w:uiPriority w:val="99"/>
    <w:unhideWhenUsed/>
    <w:rsid w:val="00A439ED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7C5576"/>
    <w:pPr>
      <w:spacing w:after="100"/>
      <w:ind w:left="216" w:hanging="5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142F64"/>
    <w:pPr>
      <w:spacing w:after="100"/>
      <w:ind w:left="440"/>
    </w:pPr>
    <w:rPr>
      <w:rFonts w:eastAsiaTheme="minorEastAsia"/>
    </w:rPr>
  </w:style>
  <w:style w:type="character" w:customStyle="1" w:styleId="20">
    <w:name w:val="Заголовок 2 Знак"/>
    <w:basedOn w:val="a0"/>
    <w:link w:val="2"/>
    <w:uiPriority w:val="9"/>
    <w:semiHidden/>
    <w:rsid w:val="004846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846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4846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4846B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d">
    <w:name w:val="Document Map"/>
    <w:basedOn w:val="a"/>
    <w:link w:val="ae"/>
    <w:uiPriority w:val="99"/>
    <w:semiHidden/>
    <w:unhideWhenUsed/>
    <w:rsid w:val="00F83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F838B4"/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rsid w:val="00CF6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CF6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5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C20BDA-8F05-477D-A979-D4B438224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10442</TotalTime>
  <Pages>10</Pages>
  <Words>1273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20</cp:revision>
  <dcterms:created xsi:type="dcterms:W3CDTF">2020-12-11T15:31:00Z</dcterms:created>
  <dcterms:modified xsi:type="dcterms:W3CDTF">2023-04-12T10:34:00Z</dcterms:modified>
</cp:coreProperties>
</file>