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commentRangeStart w:id="3"/>
      <w:r>
        <w:t>Invoices are payable within 30 days.</w:t>
      </w:r>
      <w:commentRangeEnd w:id="3"/>
      <w:r>
        <w:rPr>
          <w:rStyle w:val="CommentReference"/>
        </w:rPr>
        <w:commentReference w:id="3"/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  <w:comment w:id="3" w:author="Benchmark Editor" w:initials="BE" w:date="2026-09-30T09:40:28Z">
    <w:p>
      <w:pPr>
        <w:pStyle w:val="CommentText"/>
      </w:pPr>
      <w:r>
        <w:rPr>
          <w:rStyle w:val="CommentReference"/>
        </w:rPr>
        <w:annotationRef/>
      </w:r>
      <w:r>
        <w:t>Confirm the payment term with finance.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