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</w:pPr>
      <w:r>
        <w:t>The Supplier must maintain cyber liability insurance of not less than EUR 5,000,000.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r>
              <w:t>EUR 12,750</w:t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34,500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