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r>
              <w:t>EUR 14,000</w:t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2027-01-15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  <w:tr>
        <w:tc>
          <w:tcPr>
            <w:tcW w:type="dxa" w:w="3000"/>
          </w:tcPr>
          <w:p>
            <w:r>
              <w:t>Handover</w:t>
            </w:r>
          </w:p>
        </w:tc>
        <w:tc>
          <w:tcPr>
            <w:tcW w:type="dxa" w:w="3000"/>
          </w:tcPr>
          <w:p>
            <w:r>
              <w:t>2027-02-15</w:t>
            </w:r>
          </w:p>
        </w:tc>
        <w:tc>
          <w:tcPr>
            <w:tcW w:type="dxa" w:w="3000"/>
          </w:tcPr>
          <w:p>
            <w:r>
              <w:t>EUR 8,000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