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commentRangeStart w:id="15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commentRangeEnd w:id="15"/>
      <w:r>
        <w:rPr>
          <w:rStyle w:val="CommentReference"/>
        </w:rPr>
        <w:commentReference w:id="15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 xml:space="preserve">Either party may terminate this agreement on </w:t>
      </w:r>
      <w:commentRangeStart w:id="16"/>
      <w:r>
        <w:t xml:space="preserve">sixty days</w:t>
      </w:r>
      <w:commentRangeEnd w:id="16"/>
      <w:r>
        <w:rPr>
          <w:rStyle w:val="CommentReference"/>
        </w:rPr>
        <w:commentReference w:id="16"/>
      </w:r>
      <w:r>
        <w:t xml:space="preserve">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5" w:author="Benchmark Editor" w:date="2026-10-01T00:00:00Z" w:initials="BE">
    <w:p w14:paraId="21A5E09A" w14:textId="21A5E09A">
      <w:r>
        <w:t xml:space="preserve">Schedule 1 now defines it.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  <w:comment w:id="16" w:author="Benchmark Editor" w:date="2026-10-01T00:00:00Z" w:initials="BE">
    <w:p w14:paraId="3D8D2E3C" w14:textId="3D8D2E3C">
      <w:r>
        <w:t xml:space="preserve">Check the notice period with the client.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21A5E09A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