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Operations Report 5</w:t>
      </w:r>
    </w:p>
    <w:p>
      <w:pPr>
        <w:pStyle w:val="Subtitle"/>
      </w:pPr>
      <w:r>
        <w:t>EVIDENCE-MARKER-REPORT-05-DRAFT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report-05: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report item 1</w:t>
            </w:r>
          </w:p>
        </w:tc>
        <w:tc>
          <w:tcPr>
            <w:tcW w:type="dxa" w:w="2880"/>
          </w:tcPr>
          <w:p>
            <w:r>
              <w:t>Team 5</w:t>
            </w:r>
          </w:p>
        </w:tc>
        <w:tc>
          <w:tcPr>
            <w:tcW w:type="dxa" w:w="2880"/>
          </w:tcPr>
          <w:p>
            <w:r>
              <w:t>Open</w:t>
            </w:r>
          </w:p>
        </w:tc>
      </w:tr>
      <w:tr>
        <w:tc>
          <w:tcPr>
            <w:tcW w:type="dxa" w:w="2880"/>
          </w:tcPr>
          <w:p>
            <w:r>
              <w:t>report item 2</w:t>
            </w:r>
          </w:p>
        </w:tc>
        <w:tc>
          <w:tcPr>
            <w:tcW w:type="dxa" w:w="2880"/>
          </w:tcPr>
          <w:p>
            <w:r>
              <w:t>Team 5</w:t>
            </w:r>
          </w:p>
        </w:tc>
        <w:tc>
          <w:tcPr>
            <w:tcW w:type="dxa" w:w="2880"/>
          </w:tcPr>
          <w:p>
            <w:r>
              <w:t>Reviewed</w:t>
            </w:r>
          </w:p>
        </w:tc>
      </w:tr>
      <w:tr>
        <w:tc>
          <w:tcPr>
            <w:tcW w:type="dxa" w:w="2880"/>
          </w:tcPr>
          <w:p>
            <w:r>
              <w:t>report item 3</w:t>
            </w:r>
          </w:p>
        </w:tc>
        <w:tc>
          <w:tcPr>
            <w:tcW w:type="dxa" w:w="2880"/>
          </w:tcPr>
          <w:p>
            <w:r>
              <w:t>Team 5</w:t>
            </w:r>
          </w:p>
        </w:tc>
        <w:tc>
          <w:tcPr>
            <w:tcW w:type="dxa" w:w="2880"/>
          </w:tcPr>
          <w:p>
            <w:r>
              <w:t>Approved</w:t>
            </w:r>
          </w:p>
        </w:tc>
      </w:tr>
    </w:tbl>
    <w:p>
      <w:pPr>
        <w:pStyle w:val="Heading1"/>
      </w:pPr>
      <w:r>
        <w:t>Implementation notes</w:t>
      </w:r>
    </w:p>
    <w:p>
      <w:pPr>
        <w:pStyle w:val="ListNumber"/>
      </w:pPr>
      <w:r>
        <w:t>Evidence step 1 for report-05 must remain readable and internally consistent after an automated edit.</w:t>
      </w:r>
    </w:p>
    <w:p>
      <w:pPr>
        <w:pStyle w:val="ListNumber"/>
      </w:pPr>
      <w:r>
        <w:t>Evidence step 2 for report-05 must remain readable and internally consistent after an automated edit.</w:t>
      </w:r>
    </w:p>
    <w:p>
      <w:pPr>
        <w:pStyle w:val="ListNumber"/>
      </w:pPr>
      <w:r>
        <w:t>Evidence step 3 for report-05 must remain readable and internally consistent after an automated edit.</w:t>
      </w:r>
    </w:p>
    <w:p>
      <w:pPr>
        <w:pStyle w:val="Heading1"/>
      </w:pPr>
      <w:r>
        <w:t>Executive summary</w:t>
      </w:r>
    </w:p>
    <w:p>
      <w:r>
        <w:t>Synthetic throughput improved by 15% while the illustrative exception count remained below five.</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46Z">
    <w:p>
      <w:pPr>
        <w:pStyle w:val="CommentText"/>
      </w:pPr>
      <w:r>
        <w:rPr>
          <w:rStyle w:val="CommentReference"/>
        </w:rPr>
        <w:annotationRef/>
      </w:r>
      <w:r>
        <w:t>Synthetic review note for report-05.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report-05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report-05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5</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