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2</w:t>
      </w:r>
    </w:p>
    <w:p>
      <w:pPr>
        <w:pStyle w:val="Subtitle"/>
      </w:pPr>
      <w:r>
        <w:t>EVIDENCE-MARKER-ONLINE-MULTI-SECTION-02-DRAFT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online-multi-section-02: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2</w:t>
            </w:r>
          </w:p>
        </w:tc>
        <w:tc>
          <w:tcPr>
            <w:tcW w:type="dxa" w:w="2880"/>
          </w:tcPr>
          <w:p>
            <w:r>
              <w:t>Open</w:t>
            </w:r>
          </w:p>
        </w:tc>
      </w:tr>
      <w:tr>
        <w:tc>
          <w:tcPr>
            <w:tcW w:type="dxa" w:w="2880"/>
          </w:tcPr>
          <w:p>
            <w:r>
              <w:t>multi-section item 2</w:t>
            </w:r>
          </w:p>
        </w:tc>
        <w:tc>
          <w:tcPr>
            <w:tcW w:type="dxa" w:w="2880"/>
          </w:tcPr>
          <w:p>
            <w:r>
              <w:t>Team 2</w:t>
            </w:r>
          </w:p>
        </w:tc>
        <w:tc>
          <w:tcPr>
            <w:tcW w:type="dxa" w:w="2880"/>
          </w:tcPr>
          <w:p>
            <w:r>
              <w:t>Reviewed</w:t>
            </w:r>
          </w:p>
        </w:tc>
      </w:tr>
      <w:tr>
        <w:tc>
          <w:tcPr>
            <w:tcW w:type="dxa" w:w="2880"/>
          </w:tcPr>
          <w:p>
            <w:r>
              <w:t>multi-section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online-multi-section-02 must remain readable and internally consistent after an automated edit.</w:t>
      </w:r>
    </w:p>
    <w:p>
      <w:pPr>
        <w:pStyle w:val="ListNumber"/>
      </w:pPr>
      <w:r>
        <w:t>Evidence step 2 for online-multi-section-02 must remain readable and internally consistent after an automated edit.</w:t>
      </w:r>
    </w:p>
    <w:p>
      <w:pPr>
        <w:pStyle w:val="ListNumber"/>
      </w:pPr>
      <w:r>
        <w:t>Evidence step 3 for online-multi-section-02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