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15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15"/>
      <w:r>
        <w:rPr>
          <w:rStyle w:val="CommentReference"/>
        </w:rPr>
        <w:commentReference w:id="15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 xml:space="preserve">Either party may terminate this agreement on </w:t>
      </w:r>
      <w:commentRangeStart w:id="16"/>
      <w:r>
        <w:t>sixty days</w:t>
      </w:r>
      <w:commentRangeEnd w:id="16"/>
      <w:r>
        <w:rPr>
          <w:rStyle w:val="CommentReference"/>
        </w:rPr>
        <w:commentReference w:id="16"/>
      </w:r>
      <w:r>
        <w:t>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  <w:comment w:id="15" w:author="Benchmark Editor" w:date="2026-10-11T09:47:50Z" w:initials="BE">
    <w:p w14:paraId="1FF6B41A" w14:textId="77777777" w:rsidR="110529D8" w:rsidRDefault="110529D8" w:rsidP="110529D8">
      <w:pPr>
        <w:pStyle w:val="CommentText"/>
      </w:pPr>
      <w:r>
        <w:rPr>
          <w:rStyle w:val="CommentReference"/>
        </w:rPr>
        <w:annotationRef/>
      </w:r>
      <w:r>
        <w:t>Schedule 1 now defines it.</w:t>
      </w:r>
    </w:p>
  </w:comment>
  <w:comment w:id="16" w:author="Benchmark Editor" w:date="2026-10-11T09:47:50Z" w:initials="BE">
    <w:p w14:paraId="73B3DB94" w14:textId="77777777" w:rsidR="1D60931E" w:rsidRDefault="1D60931E" w:rsidP="1D60931E">
      <w:pPr>
        <w:pStyle w:val="CommentText"/>
      </w:pPr>
      <w:r>
        <w:rPr>
          <w:rStyle w:val="CommentReference"/>
        </w:rPr>
        <w:annotationRef/>
      </w:r>
      <w:r>
        <w:t>Check the notice period with the client.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  <w15:commentEx w15:paraId="1FF6B41A" w15:paraIdParent="4DCE4551" w15:done="0"/>
  <w15:commentEx w15:paraId="73B3DB9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  <w16cex:commentExtensible w16cex:durableId="6DE45B2A" w16cex:dateUtc="2026-10-11T09:47:50Z"/>
  <w16cex:commentExtensible w16cex:durableId="55F755DD" w16cex:dateUtc="2026-10-11T09:47:5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  <w16cid:commentId w16cid:paraId="1FF6B41A" w16cid:durableId="6DE45B2A"/>
  <w16cid:commentId w16cid:paraId="73B3DB94" w16cid:durableId="55F755D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