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5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commentRangeEnd w:id="15"/>
      <w:r>
        <w:rPr>
          <w:rStyle w:val="CommentReference"/>
        </w:rPr>
        <w:commentReference w:id="15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16"/>
      <w:r>
        <w:t xml:space="preserve">sixty days</w:t>
      </w:r>
      <w:commentRangeEnd w:id="16"/>
      <w:r>
        <w:rPr>
          <w:rStyle w:val="CommentReference"/>
        </w:rPr>
        <w:commentReference w:id="16"/>
      </w:r>
      <w:r>
        <w:t xml:space="preserve"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5" w:author="Benchmark Editor" w:date="2026-10-01T00:00:00Z" w:initials="BE">
    <w:p w14:paraId="0CE475E1" w14:textId="0CE475E1">
      <w:r>
        <w:t xml:space="preserve">Schedule 1 now defines it.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6" w:author="Benchmark Editor" w:date="2026-10-01T00:00:00Z" w:initials="BE">
    <w:p w14:paraId="631858C6" w14:textId="631858C6">
      <w:r>
        <w:t xml:space="preserve"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0CE475E1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