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commentRangeStart w:id="16"/>
      <w:r>
        <w:t>Either party may terminate this agreement on sixty days' written notice.</w:t>
      </w:r>
      <w:commentRangeEnd w:id="16"/>
      <w:r>
        <w:rPr>
          <w:rStyle w:val="CommentReference"/>
        </w:rPr>
        <w:commentReference w:id="16"/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5" w:author="Benchmark Editor" w:date="2026-10-01T08:19:38Z" w:initials="BE">
    <w:p w14:paraId="01B0645E" w14:textId="77777777">
      <w:r>
        <w:t xml:space="preserve">Schedule 1 now defines it.</w:t>
      </w:r>
    </w:p>
  </w:comment>
  <w:comment w:id="16" w:author="Benchmark Editor" w:date="2026-10-01T08:19:38Z" w:initials="BE">
    <w:p w14:paraId="1F05721A" w14:textId="77777777">
      <w:r>
        <w:rPr>
          <w:rStyle w:val="CommentReference"/>
        </w:rPr>
        <w:annotationRef/>
      </w:r>
      <w:r>
        <w:t xml:space="preserve"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  <w15:commentEx w15:paraId="01B0645E" w15:paraIdParent="4DCE455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