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commentRangeStart w:id="16"/>
      <w:r>
        <w:t>Either party may terminate this agreement on sixty days' written notice.</w:t>
      </w:r>
      <w:commentRangeEnd w:id="16"/>
      <w:r>
        <w:rPr>
          <w:rStyle w:val="CommentReference"/>
        </w:rPr>
        <w:commentReference w:id="16"/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01T08:24:43Z" w:initials="BE">
    <w:p w14:paraId="7A6647FB" w14:textId="77777777">
      <w:r>
        <w:t xml:space="preserve">Schedule 1 now defines it.</w:t>
      </w:r>
    </w:p>
  </w:comment>
  <w:comment w:id="16" w:author="Benchmark Editor" w:date="2026-10-01T08:24:43Z" w:initials="BE">
    <w:p w14:paraId="559FC102" w14:textId="77777777">
      <w:r>
        <w:rPr>
          <w:rStyle w:val="CommentReference"/>
        </w:rPr>
        <w:annotationRef/>
      </w:r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7A6647FB" w15:paraIdParent="4DCE45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