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5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commentRangeEnd w:id="15"/>
      <w:r>
        <w:rPr>
          <w:rStyle w:val="CommentReference"/>
        </w:rPr>
        <w:commentReference w:id="15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 xml:space="preserve">sixty days</w:t>
      </w:r>
      <w:commentRangeEnd w:id="16"/>
      <w:r>
        <w:rPr>
          <w:rStyle w:val="CommentReference"/>
        </w:rPr>
        <w:commentReference w:id="16"/>
      </w:r>
      <w:r>
        <w:t xml:space="preserve"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5" w:author="Benchmark Editor" w:date="2026-10-01T00:00:00Z" w:initials="BE">
    <w:p w14:paraId="477CC323" w14:textId="477CC323">
      <w:r>
        <w:t xml:space="preserve">Schedule 1 now defines it.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6" w:author="Benchmark Editor" w:date="2026-10-01T00:00:00Z" w:initials="BE">
    <w:p w14:paraId="164234D2" w14:textId="164234D2"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477CC32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