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15"/>
      <w:r>
        <w:rPr>
          <w:rStyle w:val="CommentReference"/>
        </w:rPr>
        <w:commentReference w:id="15"/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>sixty days</w:t>
      </w:r>
      <w:commentRangeEnd w:id="16"/>
      <w:r>
        <w:rPr>
          <w:rStyle w:val="CommentReference"/>
        </w:rPr>
        <w:commentReference w:id="16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2T07:42:29Z" w:initials="BE">
    <w:p w14:paraId="6AB10001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6" w:author="Benchmark Editor" w:date="2026-10-02T07:42:29Z" w:initials="BE">
    <w:p w14:paraId="6AB10002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6AB10001" w15:paraIdParent="4DCE4551" w15:done="0"/>
  <w15:commentEx w15:paraId="6AB1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6AB20001" w16cex:dateUtc="2026-10-02T07:42:29Z"/>
  <w16cex:commentExtensible w16cex:durableId="6AB20002" w16cex:dateUtc="2026-10-02T07:42:29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6AB10001" w16cid:durableId="6AB20001"/>
  <w16cid:commentId w16cid:paraId="6AB10002" w16cid:durableId="6AB200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