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17"/>
      <w:commentRangeStart w:id="3"/>
      <w:r>
        <w:t>Completion Date</w:t>
      </w:r>
      <w:commentRangeEnd w:id="17"/>
      <w:r>
        <w:rPr>
          <w:rStyle w:val="CommentReference"/>
        </w:rPr>
        <w:commentReference w:id="17"/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 xml:space="preserve">Either party may terminate this agreement on </w:t>
      </w:r>
      <w:commentRangeStart w:id="18"/>
      <w:r>
        <w:t>sixty days</w:t>
      </w:r>
      <w:commentRangeEnd w:id="18"/>
      <w:r>
        <w:rPr>
          <w:rStyle w:val="CommentReference"/>
        </w:rPr>
        <w:commentReference w:id="18"/>
      </w:r>
      <w:r>
        <w:t>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7" w:author="Benchmark Editor" w:date="2026-10-02T08:31:46Z" w:initials="BE">
    <w:p w14:paraId="6A000017" w14:textId="77777777">
      <w:pPr>
        <w:pStyle w:val="CommentText"/>
      </w:pPr>
      <w:r>
        <w:rPr>
          <w:rStyle w:val="CommentReference"/>
        </w:rPr>
        <w:annotationRef/>
      </w:r>
      <w:r>
        <w:t>Schedule 1 now defines it.</w:t>
      </w:r>
    </w:p>
  </w:comment>
  <w:comment w:id="18" w:author="Benchmark Editor" w:date="2026-10-02T08:31:46Z" w:initials="BE">
    <w:p w14:paraId="6A000018" w14:textId="77777777">
      <w:pPr>
        <w:pStyle w:val="CommentText"/>
      </w:pPr>
      <w:r>
        <w:rPr>
          <w:rStyle w:val="CommentReference"/>
        </w:rPr>
        <w:annotationRef/>
      </w:r>
      <w:r>
        <w:t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  <w15:commentEx w15:paraId="6A000017" w15:paraIdParent="4DCE4551" w15:done="0"/>
  <w15:commentEx w15:paraId="6A00001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  <w16cex:commentExtensible w16cex:durableId="6B000017" w16cex:dateUtc="2026-10-02T08:31:46Z"/>
  <w16cex:commentExtensible w16cex:durableId="6B000018" w16cex:dateUtc="2026-10-02T08:31:46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  <w16cid:commentId w16cid:paraId="6A000017" w16cid:durableId="6B000017"/>
  <w16cid:commentId w16cid:paraId="6A000018" w16cid:durableId="6B00001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