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40"/>
        </w:rPr>
        <w:t>ОТЧЁТ</w:t>
      </w:r>
    </w:p>
    <w:p>
      <w:pPr>
        <w:spacing w:after="80"/>
        <w:jc w:val="center"/>
      </w:pPr>
      <w:r>
        <w:rPr>
          <w:b/>
          <w:i w:val="0"/>
        </w:rPr>
        <w:t>по практической работе «Мониторинг и реагирование на инциденты информационной безопасности»</w:t>
      </w:r>
    </w:p>
    <w:p>
      <w:pPr>
        <w:spacing w:after="80"/>
      </w:pPr>
      <w:r>
        <w:rPr>
          <w:b w:val="0"/>
          <w:i/>
        </w:rPr>
        <w:t>Цель: формирование умений и навыков мониторинга инцидентов информационной безопасности, выявления и устранения последствий компьютерных инцидентов.</w:t>
      </w:r>
    </w:p>
    <w:p>
      <w:pPr>
        <w:spacing w:after="80"/>
      </w:pPr>
      <w:r>
        <w:rPr>
          <w:b w:val="0"/>
          <w:i w:val="0"/>
        </w:rPr>
        <w:t>Выполнил: ______________________    Группа: ________    Дата: ____________</w:t>
      </w:r>
    </w:p>
    <w:p>
      <w:pPr>
        <w:spacing w:after="80"/>
      </w:pPr>
      <w:r>
        <w:rPr>
          <w:b w:val="0"/>
          <w:i/>
        </w:rPr>
        <w:t>Примечание. Лог межсетевого экрана (МЭ) в задании дан в виде описания, поэтому записи лога, имя узла и адрес сервера управления в разделе 3 — иллюстративные. Подставьте значения из вашего лога.</w:t>
      </w:r>
    </w:p>
    <w:p>
      <w:pPr>
        <w:pStyle w:val="Heading1"/>
      </w:pPr>
      <w:r>
        <w:t>Шаг 1. Инструктаж: памятка «10 правил безопасной работы в Windows»</w:t>
      </w:r>
    </w:p>
    <w:p>
      <w:pPr>
        <w:spacing w:after="60"/>
      </w:pPr>
      <w:r>
        <w:rPr>
          <w:b/>
        </w:rPr>
        <w:t xml:space="preserve">1. Обновляйте систему и программы. </w:t>
      </w:r>
      <w:r>
        <w:t>Включите Windows Update и автообновление браузера, офисного пакета, PDF-просмотрщика. Большинство атак используют уже закрытые уязвимости.</w:t>
      </w:r>
    </w:p>
    <w:p>
      <w:pPr>
        <w:spacing w:after="60"/>
      </w:pPr>
      <w:r>
        <w:rPr>
          <w:b/>
        </w:rPr>
        <w:t xml:space="preserve">2. Не отключайте защиту. </w:t>
      </w:r>
      <w:r>
        <w:t>Microsoft Defender (или корпоративный антивирус) и брандмауэр Windows должны быть включены. Не добавляйте файлы в исключения и не выключайте защиту «чтобы программа заработала».</w:t>
      </w:r>
    </w:p>
    <w:p>
      <w:pPr>
        <w:spacing w:after="60"/>
      </w:pPr>
      <w:r>
        <w:rPr>
          <w:b/>
        </w:rPr>
        <w:t xml:space="preserve">3. Работайте под обычной учётной записью. </w:t>
      </w:r>
      <w:r>
        <w:t>Права администратора нужны только для установки ПО и настройки. Повседневная работа — без них; запрос UAC, который вы не ожидали, — повод отказаться.</w:t>
      </w:r>
    </w:p>
    <w:p>
      <w:pPr>
        <w:spacing w:after="60"/>
      </w:pPr>
      <w:r>
        <w:rPr>
          <w:b/>
        </w:rPr>
        <w:t xml:space="preserve">4. Используйте надёжные пароли и MFA. </w:t>
      </w:r>
      <w:r>
        <w:t>Пароль — от 12 символов, уникальный для каждого сервиса, храните в менеджере паролей. Включайте двухфакторную аутентификацию. Никому не сообщайте пароль, в том числе «сотрудникам ИТ».</w:t>
      </w:r>
    </w:p>
    <w:p>
      <w:pPr>
        <w:spacing w:after="60"/>
      </w:pPr>
      <w:r>
        <w:rPr>
          <w:b/>
        </w:rPr>
        <w:t xml:space="preserve">5. Остерегайтесь фишинга. </w:t>
      </w:r>
      <w:r>
        <w:t>Проверяйте адрес отправителя и ссылки (наведите курсор), не открывайте неожиданные вложения (.exe, .js, .vbs, .lnk, документы с макросами). Сомневаетесь — перешлите письмо в службу ИБ.</w:t>
      </w:r>
    </w:p>
    <w:p>
      <w:pPr>
        <w:spacing w:after="60"/>
      </w:pPr>
      <w:r>
        <w:rPr>
          <w:b/>
        </w:rPr>
        <w:t xml:space="preserve">6. Устанавливайте только разрешённое ПО из официальных источников. </w:t>
      </w:r>
      <w:r>
        <w:t>Не скачивайте «взломанные» программы, кейгены, неизвестные расширения браузера. Установка нелицензионного ПО — частая причина заражения.</w:t>
      </w:r>
    </w:p>
    <w:p>
      <w:pPr>
        <w:spacing w:after="60"/>
      </w:pPr>
      <w:r>
        <w:rPr>
          <w:b/>
        </w:rPr>
        <w:t xml:space="preserve">7. Блокируйте экран. </w:t>
      </w:r>
      <w:r>
        <w:t>Уходя от компьютера — Win+L. Включите автоблокировку через 5–10 минут и пароль при выходе из режима сна.</w:t>
      </w:r>
    </w:p>
    <w:p>
      <w:pPr>
        <w:spacing w:after="60"/>
      </w:pPr>
      <w:r>
        <w:rPr>
          <w:b/>
        </w:rPr>
        <w:t xml:space="preserve">8. Осторожно с USB-носителями и внешними устройствами. </w:t>
      </w:r>
      <w:r>
        <w:t>Не подключайте найденные флешки. Отключите автозапуск; проверяйте носители антивирусом.</w:t>
      </w:r>
    </w:p>
    <w:p>
      <w:pPr>
        <w:spacing w:after="60"/>
      </w:pPr>
      <w:r>
        <w:rPr>
          <w:b/>
        </w:rPr>
        <w:t xml:space="preserve">9. Делайте резервные копии. </w:t>
      </w:r>
      <w:r>
        <w:t>Правило 3-2-1: 3 копии, на 2 типах носителей, 1 копия вне офиса/офлайн. Важные данные храните на сетевом ресурсе или в облаке организации, а не только на локальном диске.</w:t>
      </w:r>
    </w:p>
    <w:p>
      <w:pPr>
        <w:spacing w:after="60"/>
      </w:pPr>
      <w:r>
        <w:rPr>
          <w:b/>
        </w:rPr>
        <w:t xml:space="preserve">10. Сообщайте об инцидентах сразу. </w:t>
      </w:r>
      <w:r>
        <w:t>Тормозит система, появились незнакомые окна, файлы переименованы, антивирус сработал, вы открыли подозрительную ссылку — отключите сетевой кабель/Wi-Fi, не выключайте и не перезагружайте ПК, позвоните в службу ИБ/ИТ. Быстрое сообщение сильно сокращает ущерб.</w:t>
      </w:r>
    </w:p>
    <w:p>
      <w:pPr>
        <w:spacing w:after="80"/>
      </w:pPr>
      <w:r>
        <w:rPr>
          <w:b w:val="0"/>
          <w:i/>
        </w:rPr>
        <w:t>Контакты службы информационной безопасности: тел. ______, e-mail ______.</w:t>
      </w:r>
    </w:p>
    <w:p>
      <w:pPr>
        <w:pStyle w:val="Heading1"/>
      </w:pPr>
      <w:r>
        <w:t>Шаг 2. Мониторинг: дашборд Wazuh «Блокировки антивируса за 24 часа»</w:t>
      </w:r>
    </w:p>
    <w:p>
      <w:pPr>
        <w:pStyle w:val="Heading2"/>
      </w:pPr>
      <w:r>
        <w:t>2.1. Источник событий</w:t>
      </w:r>
    </w:p>
    <w:p>
      <w:pPr>
        <w:spacing w:after="80"/>
      </w:pPr>
      <w:r>
        <w:rPr>
          <w:b w:val="0"/>
          <w:i w:val="0"/>
        </w:rPr>
        <w:t>Microsoft Defender пишет события в журнал Windows «Microsoft-Windows-Windows Defender/Operational». Основные коды: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Event ID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1116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Обнаружено вредоносное ПО (MALWAREPROTECTION_STATE_MALWARE_DETECTED)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1117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Принято действие: заблокировано / помещено в карантин / удалено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1118 / 1119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Действие над угрозой не выполнено или завершилось ошибкой (требует разбора в первую очередь)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5007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Изменены настройки Defender (возможное отключение защиты)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Подключите журнал на агенте Wazuh (C:\Program Files (x86)\ossec-agent\ossec.conf) и перезапустите службу Wazuh: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&lt;localfile&gt;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&lt;location&gt;Microsoft-Windows-Windows Defender/Operational&lt;/location&gt;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&lt;log_format&gt;eventchannel&lt;/log_format&gt;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&lt;/localfile&gt;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Для отдельного правила «заблокирована угроза» добавьте на менеджере в /var/ossec/etc/rules/local_rules.xml: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&lt;group name="windows,defender,av_block,"&gt;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&lt;rule id="100100" level="8"&gt;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&lt;if_group&gt;windows&lt;/if_group&gt;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&lt;field name="win.system.providerName"&gt;Microsoft-Windows-Windows Defender&lt;/field&gt;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&lt;field name="win.system.eventID"&gt;^1117$&lt;/field&gt;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&lt;description&gt;Defender: угроза заблокирована/удалена&lt;/description&gt;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&lt;group&gt;av_block,&lt;/group&gt;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&lt;/rule&gt;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&lt;rule id="100101" level="12"&gt;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&lt;if_group&gt;windows&lt;/if_group&gt;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&lt;field name="win.system.providerName"&gt;Microsoft-Windows-Windows Defender&lt;/field&gt;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&lt;field name="win.system.eventID"&gt;^1119$&lt;/field&gt;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&lt;description&gt;Defender: не удалось обезвредить угрозу&lt;/description&gt;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  &lt;group&gt;av_block,&lt;/group&gt;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 &lt;/rule&gt;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&lt;/group&gt;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Проверка и применение: systemctl restart wazuh-manager. Команда /var/ossec/bin/wazuh-logtest позволяет предварительно проверить правило на примере события.</w:t>
      </w:r>
    </w:p>
    <w:p>
      <w:pPr>
        <w:pStyle w:val="Heading2"/>
      </w:pPr>
      <w:r>
        <w:t>2.2. Построение дашборда</w:t>
      </w:r>
    </w:p>
    <w:p>
      <w:pPr>
        <w:pStyle w:val="ListNumber"/>
        <w:spacing w:after="40"/>
      </w:pPr>
      <w:r>
        <w:t>Wazuh Dashboard → Explore → Dashboards → Create new dashboard (либо Visualize → Create visualization).</w:t>
      </w:r>
    </w:p>
    <w:p>
      <w:pPr>
        <w:pStyle w:val="ListNumber"/>
        <w:spacing w:after="40"/>
      </w:pPr>
      <w:r>
        <w:t>Индекс-паттерн: wazuh-alerts-*. Временной диапазон (правый верхний угол): Last 24 hours (Commonly used → Last 24 hours); включите автообновление, например, 1 минута.</w:t>
      </w:r>
    </w:p>
    <w:p>
      <w:pPr>
        <w:pStyle w:val="ListNumber"/>
        <w:spacing w:after="40"/>
      </w:pPr>
      <w:r>
        <w:t>Общий фильтр (DQL) для всех визуализаций: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rule.groups: "av_block" or data.win.system.eventID: (1116 or 1117 or 1119)</w:t>
      </w:r>
    </w:p>
    <w:p>
      <w:pPr>
        <w:spacing w:after="80"/>
      </w:pPr>
      <w:r>
        <w:rPr>
          <w:b w:val="0"/>
          <w:i w:val="0"/>
        </w:rPr>
      </w:r>
    </w:p>
    <w:p>
      <w:pPr>
        <w:pStyle w:val="ListNumber"/>
        <w:spacing w:after="40"/>
      </w:pPr>
      <w:r>
        <w:t>Создайте визуализации (таблица ниже) и добавьте их через Add → Create new / Add an existing.</w:t>
      </w:r>
    </w:p>
    <w:p>
      <w:pPr>
        <w:pStyle w:val="ListNumber"/>
        <w:spacing w:after="40"/>
      </w:pPr>
      <w:r>
        <w:t>Сохраните: Save → название «Антивирус: блокировки за 24 часа».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Панель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4989"/>
            <w:shd w:val="clear" w:fill="D9E2F3"/>
          </w:tcPr>
          <w:p>
            <w:r/>
            <w:r>
              <w:rPr>
                <w:b/>
                <w:sz w:val="19"/>
              </w:rPr>
              <w:t>Настройка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Всего блокировок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Metric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Count, фильтр eventID: 1117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Динамика по времени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Area / Line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X: Date Histogram по @timestamp (интервал 1 ч); Y: Count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Топ угроз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Pie / Bar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Terms: data.win.eventdata.threatName, размер 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Заражённые узлы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Horizontal bar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Terms: agent.name, размер 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Тяжесть угрозы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Pie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Terms: data.win.eventdata.severityName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Пути/файлы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Data table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Terms: data.win.eventdata.path; колонки agent.name, threatName, @timestamp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Неудачные действия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Metric (красный)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Count, фильтр eventID: 1119 — порог тревоги &gt;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Последние события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Saved search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Колонки: @timestamp, agent.name, rule.description, data.win.eventdata.threatName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Если названия полей в вашей версии отличаются, найдите их в Discover по примеру события (раскройте документ и посмотрите раздел data.win.*).</w:t>
      </w:r>
    </w:p>
    <w:p>
      <w:pPr>
        <w:spacing w:after="80"/>
      </w:pPr>
      <w:r>
        <w:rPr>
          <w:b w:val="0"/>
          <w:i w:val="0"/>
        </w:rPr>
        <w:t>Дополнительно: настройте оповещение (Alerting → Monitors) на правило 100101 и на число блокировок &gt; N за час на одном узле — повторные срабатывания указывают на активный источник заражения.</w:t>
      </w:r>
    </w:p>
    <w:p>
      <w:pPr>
        <w:spacing w:after="80"/>
      </w:pPr>
      <w:r>
        <w:rPr>
          <w:b w:val="0"/>
          <w:i/>
        </w:rPr>
        <w:t>[Здесь вставьте скриншот собранного дашборда.]</w:t>
      </w:r>
    </w:p>
    <w:p>
      <w:pPr>
        <w:pStyle w:val="Heading1"/>
      </w:pPr>
      <w:r>
        <w:t>Шаг 3. Инцидент: исходящие соединения 192.168.1.55 → порт 4444</w:t>
      </w:r>
    </w:p>
    <w:p>
      <w:pPr>
        <w:pStyle w:val="Heading2"/>
      </w:pPr>
      <w:r>
        <w:t>3.1. Исходные данные (иллюстративный фрагмент лога МЭ)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2026-10-08 10:41:12 ALLOW TCP 192.168.1.55:49812 -&gt; 203.0.113.77:4444  SYN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2026-10-08 10:41:42 ALLOW TCP 192.168.1.55:49830 -&gt; 203.0.113.77:4444  SYN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2026-10-08 10:42:12 ALLOW TCP 192.168.1.55:49851 -&gt; 203.0.113.77:4444  SYN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...  (повтор каждые ~30 с)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3.2. Определение заражённого устройства</w:t>
      </w:r>
    </w:p>
    <w:p>
      <w:pPr>
        <w:pStyle w:val="ListBullet"/>
        <w:spacing w:after="40"/>
      </w:pPr>
      <w:r>
        <w:rPr>
          <w:b/>
        </w:rPr>
        <w:t xml:space="preserve">Заражён узел 192.168.1.55. </w:t>
      </w:r>
      <w:r>
        <w:t>Адрес частный (RFC 1918) и стоит в поле источника: именно этот хост сам инициирует соединения во внешнюю сеть. Адрес назначения (в примере 203.0.113.77) — предполагаемый сервер управления (C2).</w:t>
      </w:r>
    </w:p>
    <w:p>
      <w:pPr>
        <w:spacing w:after="80"/>
      </w:pPr>
      <w:r>
        <w:rPr>
          <w:b/>
          <w:i w:val="0"/>
        </w:rPr>
        <w:t>Признаки компрометации:</w:t>
      </w:r>
    </w:p>
    <w:p>
      <w:pPr>
        <w:pStyle w:val="ListBullet"/>
        <w:spacing w:after="40"/>
      </w:pPr>
      <w:r>
        <w:t>Порт 4444 — стандартный порт по умолчанию для Metasploit/Meterpreter и обратных оболочек (reverse shell); легитимных сервисов на нём в офисной сети нет.</w:t>
      </w:r>
    </w:p>
    <w:p>
      <w:pPr>
        <w:pStyle w:val="ListBullet"/>
        <w:spacing w:after="40"/>
      </w:pPr>
      <w:r>
        <w:t>Строго периодические подключения (≈30 с) — «маяк» (beaconing) ПО, опрашивающего C2.</w:t>
      </w:r>
    </w:p>
    <w:p>
      <w:pPr>
        <w:pStyle w:val="ListBullet"/>
        <w:spacing w:after="40"/>
      </w:pPr>
      <w:r>
        <w:t>Соединения исходят от неизвестного процесса — штатное ПО так себя не ведёт.</w:t>
      </w:r>
    </w:p>
    <w:p>
      <w:pPr>
        <w:spacing w:after="80"/>
      </w:pPr>
      <w:r>
        <w:rPr>
          <w:b/>
          <w:i w:val="0"/>
        </w:rPr>
        <w:t>Что ещё нужно сделать для подтверждения (по приоритету):</w:t>
      </w:r>
    </w:p>
    <w:p>
      <w:pPr>
        <w:pStyle w:val="ListNumber"/>
        <w:spacing w:after="40"/>
      </w:pPr>
      <w:r>
        <w:t>Найти в DHCP-логах/ARP-таблице MAC-адрес и имя узла, выданные 192.168.1.55 на момент инцидента (адрес мог смениться); определить владельца и расположение.</w:t>
      </w:r>
    </w:p>
    <w:p>
      <w:pPr>
        <w:pStyle w:val="ListNumber"/>
        <w:spacing w:after="40"/>
      </w:pPr>
      <w:r>
        <w:t>Просмотреть в Wazuh события агента этого узла (Defender 1116/1117/1119, Sysmon Event ID 1 и 3, 4688) за период ±24 ч.</w:t>
      </w:r>
    </w:p>
    <w:p>
      <w:pPr>
        <w:pStyle w:val="ListNumber"/>
        <w:spacing w:after="40"/>
      </w:pPr>
      <w:r>
        <w:t>Выяснить в логе МЭ, нет ли таких же соединений с других адресов, а также другие подключения 192.168.1.55 к внутренним хостам (сканирование, SMB 445, RDP 3389) — признак бокового перемещения.</w:t>
      </w:r>
    </w:p>
    <w:p>
      <w:pPr>
        <w:pStyle w:val="ListNumber"/>
        <w:spacing w:after="40"/>
      </w:pPr>
      <w:r>
        <w:t>Определить момент первого соединения — он задаёт временную границу заражения.</w:t>
      </w:r>
    </w:p>
    <w:p>
      <w:pPr>
        <w:pStyle w:val="Heading2"/>
      </w:pPr>
      <w:r>
        <w:t>3.3. Сдерживание: правила на межсетевом экране</w:t>
      </w:r>
    </w:p>
    <w:p>
      <w:pPr>
        <w:spacing w:after="80"/>
      </w:pPr>
      <w:r>
        <w:rPr>
          <w:b w:val="0"/>
          <w:i w:val="0"/>
        </w:rPr>
        <w:t>Адрес 192.168.1.55 — внутренний, поэтому блокируем его как источник (карантин узла) и дополнительно — адрес C2 и порт 4444 для всей сети. Правила должны стоять выше общих разрешающих (allow any), с включённым логированием.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54"/>
            <w:shd w:val="clear" w:fill="D9E2F3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2154"/>
            <w:shd w:val="clear" w:fill="D9E2F3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Порт/протокол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9"/>
              </w:rPr>
              <w:t>Журнал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DENY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192.168.1.55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any (Internet)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DENY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203.0.113.77 (C2)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DENY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LAN 192.168.1.0/24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TCP 4444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DENY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192.168.1.55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LAN 192.168.1.0/24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Да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Правило 4 (изоляция от внутренней сети) применимо, если МЭ видит внутренний трафик (сегментация/VLAN); иначе изолируйте порт коммутатора или перенесите узел в карантинный VLAN. Примеры команд:</w:t>
      </w:r>
    </w:p>
    <w:p>
      <w:pPr>
        <w:spacing w:after="80"/>
      </w:pPr>
      <w:r>
        <w:rPr>
          <w:b/>
          <w:i w:val="0"/>
        </w:rPr>
        <w:t>Linux (iptables):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iptables -I FORWARD 1 -s 192.168.1.55 -j LOG --log-prefix "IR-BLOCK-HOST "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iptables -I FORWARD 2 -s 192.168.1.55 -j DROP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iptables -I FORWARD 3 -d 203.0.113.77 -j DROP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iptables -I FORWARD 4 -p tcp --dport 4444 -j DROP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Cisco IOS (ACL на внутреннем интерфейсе):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ip access-list extended LAN_IN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1 deny ip host 192.168.1.55 any log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2 deny ip any host 203.0.113.77 log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3 deny tcp any any eq 4444 log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!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interface Vlan10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 xml:space="preserve"> ip access-group LAN_IN in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Windows Firewall на самом узле (если сеть ещё не отключена, выполнить с правами администратора):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netsh advfirewall firewall add rule name="IR block 4444" dir=out action=block protocol=TCP remoteport=4444</w:t>
      </w:r>
    </w:p>
    <w:p>
      <w:pPr>
        <w:spacing w:after="0"/>
        <w:ind w:left="283"/>
        <w:shd w:val="clear" w:fill="F2F2F2"/>
      </w:pPr>
      <w:r>
        <w:rPr>
          <w:rFonts w:ascii="Courier New" w:hAnsi="Courier New" w:eastAsia="Courier New"/>
          <w:sz w:val="18"/>
        </w:rPr>
        <w:t>netsh advfirewall firewall add rule name="IR block C2" dir=out action=block remoteip=203.0.113.77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После применения проверьте по логу МЭ, что счётчик срабатываний правила растёт, а новых ALLOW-соединений на порт 4444 нет. Физически отключите узел от сети (кабель/порт коммутатора/Wi-Fi) — ПК не выключайте, чтобы сохранить данные в памяти.</w:t>
      </w:r>
    </w:p>
    <w:p>
      <w:pPr>
        <w:pStyle w:val="Heading2"/>
      </w:pPr>
      <w:r>
        <w:t>3.4. Удаление вредоносного ПО (Process Explorer и Autoruns)</w:t>
      </w:r>
    </w:p>
    <w:p>
      <w:pPr>
        <w:spacing w:after="80"/>
      </w:pPr>
      <w:r>
        <w:rPr>
          <w:b w:val="0"/>
          <w:i/>
        </w:rPr>
        <w:t>Работать нужно на изолированном узле, под учётной записью администратора, утилиты Sysinternals — с проверенного носителя или с официального сайта Microsoft (на заражённый узел по сети не загружать).</w:t>
      </w:r>
    </w:p>
    <w:p>
      <w:pPr>
        <w:spacing w:after="80"/>
      </w:pPr>
      <w:r>
        <w:rPr>
          <w:b/>
          <w:i w:val="0"/>
        </w:rPr>
        <w:t>Этап 0. Сохранение доказательств</w:t>
      </w:r>
    </w:p>
    <w:p>
      <w:pPr>
        <w:pStyle w:val="ListBullet"/>
        <w:spacing w:after="40"/>
      </w:pPr>
      <w:r>
        <w:t>Снимок памяти (Process Explorer: правый клик по процессу → Create Dump → Create Full Dump, либо WinPmem/DumpIt) и копия подозрительного файла на внешний носитель.</w:t>
      </w:r>
    </w:p>
    <w:p>
      <w:pPr>
        <w:pStyle w:val="ListBullet"/>
        <w:spacing w:after="40"/>
      </w:pPr>
      <w:r>
        <w:t>Сохранить вывод netstat -ano, список процессов и логи Windows (wevtutil epl Security Security.evtx).</w:t>
      </w:r>
    </w:p>
    <w:p>
      <w:pPr>
        <w:pStyle w:val="ListBullet"/>
        <w:spacing w:after="40"/>
      </w:pPr>
      <w:r>
        <w:t>Рассчитать хэш файла (Get-FileHash -Algorithm SHA256) для проверки на VirusTotal.</w:t>
      </w:r>
    </w:p>
    <w:p>
      <w:pPr>
        <w:spacing w:after="80"/>
      </w:pPr>
      <w:r>
        <w:rPr>
          <w:b/>
          <w:i w:val="0"/>
        </w:rPr>
        <w:t>Этап 1. Поиск процесса в Process Explorer</w:t>
      </w:r>
    </w:p>
    <w:p>
      <w:pPr>
        <w:pStyle w:val="ListNumber"/>
        <w:spacing w:after="40"/>
      </w:pPr>
      <w:r>
        <w:t>Запустить procexp64.exe от имени администратора. Options → Verify Image Signatures, включить Options → VirusTotal.com → Check VirusTotal.com; View → Select Columns: Verified Signer, Command Line, Image Path, VirusTotal.</w:t>
      </w:r>
    </w:p>
    <w:p>
      <w:pPr>
        <w:pStyle w:val="ListNumber"/>
        <w:spacing w:after="40"/>
      </w:pPr>
      <w:r>
        <w:rPr>
          <w:b/>
        </w:rPr>
        <w:t xml:space="preserve">Определить процесс, подключающийся к порту 4444: Find → Find Handle or DLL… либо двойной клик по процессу → вкладка TCP/IP (удалённый адрес 203.0.113.77:4444). Для сверки: netstat -ano </w:t>
      </w:r>
      <w:r>
        <w:t xml:space="preserve"> findstr :4444 (PID в последней колонке), либо TCPView.</w:t>
      </w:r>
    </w:p>
    <w:p>
      <w:pPr>
        <w:pStyle w:val="ListNumber"/>
        <w:spacing w:after="40"/>
      </w:pPr>
      <w:r>
        <w:t>Оценить признаки: нет подписи (Not verified/Unable to verify), странное имя или похожее на системное (svch0st.exe), путь в %TEMP%, %APPDATA%, C:\Users\Public, ProgramData; родитель — Word/Excel/PowerShell/cmd/wscript; высокая оценка VirusTotal; процесс svchost.exe/rundll32.exe с необычной командной строкой (внедрение кода).</w:t>
      </w:r>
    </w:p>
    <w:p>
      <w:pPr>
        <w:pStyle w:val="ListNumber"/>
        <w:spacing w:after="40"/>
      </w:pPr>
      <w:r>
        <w:t>Записать PID, полный путь, командную строку, родительский процесс, пользователя.</w:t>
      </w:r>
    </w:p>
    <w:p>
      <w:pPr>
        <w:pStyle w:val="ListNumber"/>
        <w:spacing w:after="40"/>
      </w:pPr>
      <w:r>
        <w:t>Правый клик → Suspend (приостановить) — чтобы вредонос не запустил себя повторно; затем Kill Process Tree (убить дерево процессов, включая «сторожей»).</w:t>
      </w:r>
    </w:p>
    <w:p>
      <w:pPr>
        <w:spacing w:after="80"/>
      </w:pPr>
      <w:r>
        <w:rPr>
          <w:b/>
          <w:i w:val="0"/>
        </w:rPr>
        <w:t>Этап 2. Закрепление в системе — Autoruns</w:t>
      </w:r>
    </w:p>
    <w:p>
      <w:pPr>
        <w:pStyle w:val="ListNumber"/>
        <w:spacing w:after="40"/>
      </w:pPr>
      <w:r>
        <w:t>Запустить autoruns64.exe от администратора. Options → Scan Options → Verify code signatures, Check VirusTotal.com; Options → Hide Microsoft Entries / Hide Windows Entries (оставить неподписанное и сторонние записи).</w:t>
      </w:r>
    </w:p>
    <w:p>
      <w:pPr>
        <w:pStyle w:val="ListNumber"/>
        <w:spacing w:after="40"/>
      </w:pPr>
      <w:r>
        <w:t>Просмотреть вкладки: Logon (Run/RunOnce, Startup), Scheduled Tasks, Services, Drivers, WMI, Winlogon, Image Hijacks, AppInit, Known DLLs, Office/Browser Add-ins.</w:t>
      </w:r>
    </w:p>
    <w:p>
      <w:pPr>
        <w:pStyle w:val="ListNumber"/>
        <w:spacing w:after="40"/>
      </w:pPr>
      <w:r>
        <w:t>Найти записи: с путём из Process Explorer или похожим именем; без издателя; подсвеченные розовым (нет подписи) или жёлтым (файл отсутствует); с высоким рейтингом VirusTotal.</w:t>
      </w:r>
    </w:p>
    <w:p>
      <w:pPr>
        <w:pStyle w:val="ListNumber"/>
        <w:spacing w:after="40"/>
      </w:pPr>
      <w:r>
        <w:t>Снять галочку (отключить) для подозрительной записи, затем удалить (Delete). Зафиксировать каждую запись (скриншот/экспорт File → Save).</w:t>
      </w:r>
    </w:p>
    <w:p>
      <w:pPr>
        <w:spacing w:after="80"/>
      </w:pPr>
      <w:r>
        <w:rPr>
          <w:b/>
          <w:i w:val="0"/>
        </w:rPr>
        <w:t>Этап 3. Удаление файлов и очистка</w:t>
      </w:r>
    </w:p>
    <w:p>
      <w:pPr>
        <w:pStyle w:val="ListNumber"/>
        <w:spacing w:after="40"/>
      </w:pPr>
      <w:r>
        <w:t>Удалить файлы вредоноса (включая «дроппер» во Temp/Downloads, ярлыки в автозагрузке). Если файл занят, удалить после перезагрузки (в безопасном режиме без сети) или через загрузочный диск.</w:t>
      </w:r>
    </w:p>
    <w:p>
      <w:pPr>
        <w:pStyle w:val="ListNumber"/>
        <w:spacing w:after="40"/>
      </w:pPr>
      <w:r>
        <w:t>Проверить и очистить: планировщик заданий (schtasks /query /fo LIST /v), службы (sc query), ветки реестра Run/RunOnce (HKCU и HKLM), папку автозагрузки (shell:startup), WMI-подписки.</w:t>
      </w:r>
    </w:p>
    <w:p>
      <w:pPr>
        <w:pStyle w:val="ListNumber"/>
        <w:spacing w:after="40"/>
      </w:pPr>
      <w:r>
        <w:t>Выполнить полное сканирование Microsoft Defender (Update-MpSignature; Start-MpScan -ScanType FullScan) и вторым независимым сканером (например, Kaspersky Virus Removal Tool, Dr.Web CureIt!), а также Start-MpWDOScan (автономная проверка до загрузки ОС).</w:t>
      </w:r>
    </w:p>
    <w:p>
      <w:pPr>
        <w:pStyle w:val="ListNumber"/>
        <w:spacing w:after="40"/>
      </w:pPr>
      <w:r>
        <w:t>Перезагрузить узел, повторно запустить Process Explorer, Autoruns и TCPView: порт 4444 не должен появляться; записи автозапуска не должны восстанавливаться.</w:t>
      </w:r>
    </w:p>
    <w:p>
      <w:pPr>
        <w:spacing w:after="80"/>
      </w:pPr>
      <w:r>
        <w:rPr>
          <w:b/>
          <w:i w:val="0"/>
        </w:rPr>
        <w:t>Этап 4. Восстановление</w:t>
      </w:r>
    </w:p>
    <w:p>
      <w:pPr>
        <w:pStyle w:val="ListBullet"/>
        <w:spacing w:after="40"/>
      </w:pPr>
      <w:r>
        <w:t>Если нельзя быть уверенным в полной очистке (есть признаки руткита, у вредоноса был доступ администратора, найдены следы бокового перемещения) — переустановить систему с чистого образа, данные восстановить из проверенных копий; это предпочтительный вариант.</w:t>
      </w:r>
    </w:p>
    <w:p>
      <w:pPr>
        <w:pStyle w:val="ListBullet"/>
        <w:spacing w:after="40"/>
      </w:pPr>
      <w:r>
        <w:t>Сменить пароли учётной записи пользователя узла, всех сервисных и администраторских записей, которые входили на этот ПК; отозвать токены/сессии, сертификаты, ключи SSH.</w:t>
      </w:r>
    </w:p>
    <w:p>
      <w:pPr>
        <w:pStyle w:val="ListBullet"/>
        <w:spacing w:after="40"/>
      </w:pPr>
      <w:r>
        <w:t>Перед возвращением в сеть обновить ОС и ПО, убедиться в работе Defender и агента Wazuh, снять блокировку на МЭ (правила 2 и 3 оставить).</w:t>
      </w:r>
    </w:p>
    <w:p>
      <w:pPr>
        <w:pStyle w:val="ListBullet"/>
        <w:spacing w:after="40"/>
      </w:pPr>
      <w:r>
        <w:t>Наблюдать за узлом в Wazuh 7–14 суток: повторные подключения на порт 4444 и новые срабатывания антивируса.</w:t>
      </w:r>
    </w:p>
    <w:p>
      <w:pPr>
        <w:pStyle w:val="Heading2"/>
      </w:pPr>
      <w:r>
        <w:t>3.5. Хронология и оценка инцидента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5443"/>
            <w:shd w:val="clear" w:fill="D9E2F3"/>
          </w:tcPr>
          <w:p>
            <w:r/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Статус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Обнаружение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Аномальный исходящий трафик на TCP/4444 в логе МЭ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Выполнено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Классификация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Заражение рабочей станции, предположительно reverse shell/RAT; критичность — высокая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Выполнено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Сдерживание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Блокировка 192.168.1.55, C2 и порта 4444 на МЭ, отключение узла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Выполнено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Ликвидация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Process Explorer + Autoruns, удаление, сканирование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Выполнено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Восстановление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Проверка, смена паролей, возврат в сеть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Выполнено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Извлечённые уроки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Отчёт, меры усиления защиты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См. 3.6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3.6. Выводы и меры по усилению защиты</w:t>
      </w:r>
    </w:p>
    <w:p>
      <w:pPr>
        <w:spacing w:after="80"/>
      </w:pPr>
      <w:r>
        <w:rPr>
          <w:b w:val="0"/>
          <w:i w:val="0"/>
        </w:rPr>
        <w:t>Выводы. Рабочая станция 192.168.1.55 скомпрометирована; вредоносный процесс устанавливал исходящее соединение с внешним сервером на нестандартный порт 4444 (канал управления), а МЭ его не блокировал (трафик был разрешён). Это показывает две системные проблемы: отсутствие фильтрации исходящего трафика (egress) и слабое выявление запуска неизвестных процессов на конечных точках. Инцидент замечен по логу МЭ, а не по предупреждению антивируса, значит, вредонос не детектировался сигнатурами.</w:t>
      </w:r>
    </w:p>
    <w:p>
      <w:pPr>
        <w:spacing w:after="80"/>
      </w:pPr>
      <w:r>
        <w:rPr>
          <w:b/>
          <w:i w:val="0"/>
        </w:rPr>
        <w:t>Рекомендуемые меры:</w:t>
      </w:r>
    </w:p>
    <w:p>
      <w:pPr>
        <w:pStyle w:val="ListBullet"/>
        <w:spacing w:after="40"/>
      </w:pPr>
      <w:r>
        <w:rPr>
          <w:b/>
        </w:rPr>
        <w:t xml:space="preserve">Фильтрация исходящего трафика. </w:t>
      </w:r>
      <w:r>
        <w:t>Политика «запретить всё, разрешить нужное»: исходящие только на необходимые порты (80, 443, 53 и т. д.) через прокси/DNS-фильтр; блокировка порта 4444 и других нестандартных (1337, 31337, 5555 и т. п.).</w:t>
      </w:r>
    </w:p>
    <w:p>
      <w:pPr>
        <w:pStyle w:val="ListBullet"/>
        <w:spacing w:after="40"/>
      </w:pPr>
      <w:r>
        <w:rPr>
          <w:b/>
        </w:rPr>
        <w:t xml:space="preserve">Сегментация сети. </w:t>
      </w:r>
      <w:r>
        <w:t>Разделить пользовательские, серверные и гостевые VLAN, запретить трафик «рабочая станция — рабочая станция».</w:t>
      </w:r>
    </w:p>
    <w:p>
      <w:pPr>
        <w:pStyle w:val="ListBullet"/>
        <w:spacing w:after="40"/>
      </w:pPr>
      <w:r>
        <w:rPr>
          <w:b/>
        </w:rPr>
        <w:t xml:space="preserve">EDR/Sysmon + Wazuh. </w:t>
      </w:r>
      <w:r>
        <w:t>Включить Sysmon (события 1, 3, 11, 13), собирать в Wazuh; правила на сетевые соединения от процессов из временных каталогов, на новые записи автозапуска и задания планировщика; уведомления при соединениях на порт 4444.</w:t>
      </w:r>
    </w:p>
    <w:p>
      <w:pPr>
        <w:pStyle w:val="ListBullet"/>
        <w:spacing w:after="40"/>
      </w:pPr>
      <w:r>
        <w:rPr>
          <w:b/>
        </w:rPr>
        <w:t xml:space="preserve">Дашборды и оповещения. </w:t>
      </w:r>
      <w:r>
        <w:t>Использовать дашборд из шага 2; добавить оповещения по повторным срабатываниям антивируса и по событиям 1119/5007.</w:t>
      </w:r>
    </w:p>
    <w:p>
      <w:pPr>
        <w:pStyle w:val="ListBullet"/>
        <w:spacing w:after="40"/>
      </w:pPr>
      <w:r>
        <w:rPr>
          <w:b/>
        </w:rPr>
        <w:t xml:space="preserve">Контроль приложений. </w:t>
      </w:r>
      <w:r>
        <w:t>AppLocker или WDAC: запуск только подписанного/разрешённого ПО; запрет исполнения из %TEMP%, %APPDATA%, Downloads.</w:t>
      </w:r>
    </w:p>
    <w:p>
      <w:pPr>
        <w:pStyle w:val="ListBullet"/>
        <w:spacing w:after="40"/>
      </w:pPr>
      <w:r>
        <w:rPr>
          <w:b/>
        </w:rPr>
        <w:t xml:space="preserve">Привилегии. </w:t>
      </w:r>
      <w:r>
        <w:t>Убрать права локального администратора у пользователей, внедрить LAPS для локальных администраторов.</w:t>
      </w:r>
    </w:p>
    <w:p>
      <w:pPr>
        <w:pStyle w:val="ListBullet"/>
        <w:spacing w:after="40"/>
      </w:pPr>
      <w:r>
        <w:rPr>
          <w:b/>
        </w:rPr>
        <w:t xml:space="preserve">Почта и браузер. </w:t>
      </w:r>
      <w:r>
        <w:t>Фильтрация вложений и ссылок, отключение макросов из интернета, блокировка скриптовых расширений (.js, .vbs, .hta), песочница для вложений.</w:t>
      </w:r>
    </w:p>
    <w:p>
      <w:pPr>
        <w:pStyle w:val="ListBullet"/>
        <w:spacing w:after="40"/>
      </w:pPr>
      <w:r>
        <w:rPr>
          <w:b/>
        </w:rPr>
        <w:t xml:space="preserve">Обновления и уязвимости. </w:t>
      </w:r>
      <w:r>
        <w:t>Централизованная установка патчей (WSUS/SCCM), регулярное сканирование уязвимостей.</w:t>
      </w:r>
    </w:p>
    <w:p>
      <w:pPr>
        <w:pStyle w:val="ListBullet"/>
        <w:spacing w:after="40"/>
      </w:pPr>
      <w:r>
        <w:rPr>
          <w:b/>
        </w:rPr>
        <w:t xml:space="preserve">Резервные копии. </w:t>
      </w:r>
      <w:r>
        <w:t>Копии 3-2-1, проверка восстановления, неизменяемое (offline/immutable) хранение.</w:t>
      </w:r>
    </w:p>
    <w:p>
      <w:pPr>
        <w:pStyle w:val="ListBullet"/>
        <w:spacing w:after="40"/>
      </w:pPr>
      <w:r>
        <w:rPr>
          <w:b/>
        </w:rPr>
        <w:t xml:space="preserve">Обучение. </w:t>
      </w:r>
      <w:r>
        <w:t>Регулярные тренинги и учебные фишинг-рассылки, ознакомление с памяткой из шага 1.</w:t>
      </w:r>
    </w:p>
    <w:p>
      <w:pPr>
        <w:pStyle w:val="ListBullet"/>
        <w:spacing w:after="40"/>
      </w:pPr>
      <w:r>
        <w:rPr>
          <w:b/>
        </w:rPr>
        <w:t xml:space="preserve">Процесс реагирования. </w:t>
      </w:r>
      <w:r>
        <w:t>Утвердить план реагирования на инциденты (роли, контакты, шаги, шаблоны), проводить учения; хранить доказательства; анализировать каждый инцидент и обновлять правила.</w:t>
      </w:r>
    </w:p>
    <w:p>
      <w:pPr>
        <w:pStyle w:val="Heading1"/>
      </w:pPr>
      <w:r>
        <w:t>Итоги работы</w:t>
      </w:r>
    </w:p>
    <w:p>
      <w:pPr>
        <w:spacing w:after="80"/>
      </w:pPr>
      <w:r>
        <w:rPr>
          <w:b w:val="0"/>
          <w:i w:val="0"/>
        </w:rPr>
        <w:t>Разработана памятка для пользователей (10 правил), описана настройка дашборда Wazuh для наблюдения за блокировками антивируса за 24 часа, проанализирован инцидент: определён заражённый узел, предложены правила блокировки на МЭ, описана последовательность удаления вредоносного ПО с помощью Process Explorer и Autoruns, сформулированы выводы и меры усиления защиты.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