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B3" w:rsidRDefault="003A35B3">
      <w:pPr>
        <w:spacing w:line="154" w:lineRule="exact"/>
        <w:rPr>
          <w:sz w:val="12"/>
          <w:szCs w:val="12"/>
        </w:rPr>
      </w:pPr>
    </w:p>
    <w:p w:rsidR="003A35B3" w:rsidRDefault="003A35B3">
      <w:pPr>
        <w:rPr>
          <w:sz w:val="2"/>
          <w:szCs w:val="2"/>
        </w:rPr>
        <w:sectPr w:rsidR="003A35B3">
          <w:pgSz w:w="8340" w:h="9206"/>
          <w:pgMar w:top="54" w:right="0" w:bottom="282" w:left="0" w:header="0" w:footer="3" w:gutter="0"/>
          <w:cols w:space="720"/>
          <w:noEndnote/>
          <w:docGrid w:linePitch="360"/>
        </w:sectPr>
      </w:pPr>
    </w:p>
    <w:p w:rsidR="003A35B3" w:rsidRDefault="00FC7EB6">
      <w:pPr>
        <w:pStyle w:val="10"/>
        <w:keepNext/>
        <w:keepLines/>
        <w:shd w:val="clear" w:color="auto" w:fill="auto"/>
        <w:spacing w:after="243" w:line="240" w:lineRule="exact"/>
        <w:ind w:left="20"/>
      </w:pPr>
      <w:bookmarkStart w:id="0" w:name="bookmark0"/>
      <w:r>
        <w:lastRenderedPageBreak/>
        <w:t>4.1. Сущность актуарных расчетов</w:t>
      </w:r>
      <w:bookmarkEnd w:id="0"/>
    </w:p>
    <w:p w:rsidR="003A35B3" w:rsidRDefault="00FC7EB6">
      <w:pPr>
        <w:pStyle w:val="20"/>
        <w:shd w:val="clear" w:color="auto" w:fill="auto"/>
        <w:spacing w:before="0"/>
        <w:ind w:firstLine="360"/>
      </w:pPr>
      <w:r>
        <w:t>Актуарные расчеты — система статистических и экономико-мате</w:t>
      </w:r>
      <w:r>
        <w:softHyphen/>
        <w:t>матических методов расчетов тарифных ставок и определения финан</w:t>
      </w:r>
      <w:r>
        <w:softHyphen/>
        <w:t xml:space="preserve">совых взаимоотношений страховщика и страхователя. Они позволяют </w:t>
      </w:r>
      <w:r>
        <w:t>систематизировать математические и статистические закономерности но долгосрочным страховым операциям, выбрать и обосновать наи</w:t>
      </w:r>
      <w:r>
        <w:softHyphen/>
        <w:t>более эффективную схему финансовых взаимоотношений между стра</w:t>
      </w:r>
      <w:r>
        <w:softHyphen/>
        <w:t xml:space="preserve">ховщиком и страхователями. На основе актуарных расчетов образуется </w:t>
      </w:r>
      <w:r>
        <w:t>и расходуется страховой фонд по видам долгосрочного страхования жизни, определяются тарифные ставки и объемы резервных фондов в целях обеспечения финансовой устойчивости страховых операций. Кроме того, по краткосрочному страхованию устанавливаются дина</w:t>
      </w:r>
      <w:r>
        <w:softHyphen/>
        <w:t>мич</w:t>
      </w:r>
      <w:r>
        <w:t>еские ряды статистических данных, и на их базе рассчитываются тарифы, страховые резервы и доходы страховщика. Основные задачи актуарных расчетов перечислены на рис. 4.1.</w:t>
      </w:r>
    </w:p>
    <w:p w:rsidR="003A35B3" w:rsidRDefault="00FC7EB6">
      <w:pPr>
        <w:pStyle w:val="20"/>
        <w:shd w:val="clear" w:color="auto" w:fill="auto"/>
        <w:spacing w:before="0"/>
        <w:ind w:firstLine="360"/>
      </w:pPr>
      <w:r>
        <w:t>На основании актуарных расчетов определяется доля участия каж</w:t>
      </w:r>
      <w:r>
        <w:softHyphen/>
        <w:t>дого страхователя в созд</w:t>
      </w:r>
      <w:r>
        <w:t>ании страхового фонда, производится перерас</w:t>
      </w:r>
      <w:r>
        <w:softHyphen/>
        <w:t>чет страховых взносов при изменении условий договора страхования жизни. На основе актуарных расчетов определяются размеры тариф</w:t>
      </w:r>
      <w:r>
        <w:softHyphen/>
        <w:t>ных с тавок, которые при помощи долгосрочных финансовых исследова</w:t>
      </w:r>
      <w:r>
        <w:softHyphen/>
        <w:t>ний заранее занижа</w:t>
      </w:r>
      <w:r>
        <w:t>ются на сумму того дохода, который будет получен страховщиком от использования аккумулированных взносов страхова</w:t>
      </w:r>
      <w:r>
        <w:softHyphen/>
        <w:t>телей в качестве инвестиций. Актуарные расчеты классифицируются по определенным признакам (рис. 4.2).</w:t>
      </w:r>
    </w:p>
    <w:p w:rsidR="003A35B3" w:rsidRDefault="00FC7EB6">
      <w:pPr>
        <w:pStyle w:val="20"/>
        <w:shd w:val="clear" w:color="auto" w:fill="auto"/>
        <w:spacing w:before="0"/>
        <w:ind w:firstLine="380"/>
      </w:pPr>
      <w:r>
        <w:rPr>
          <w:rStyle w:val="21"/>
        </w:rPr>
        <w:t>По отраслям страхования</w:t>
      </w:r>
      <w:r>
        <w:t xml:space="preserve"> актуарные расчеты</w:t>
      </w:r>
      <w:r>
        <w:t xml:space="preserve"> производятся:</w:t>
      </w:r>
    </w:p>
    <w:p w:rsidR="003A35B3" w:rsidRDefault="00FC7EB6">
      <w:pPr>
        <w:pStyle w:val="20"/>
        <w:numPr>
          <w:ilvl w:val="0"/>
          <w:numId w:val="1"/>
        </w:numPr>
        <w:shd w:val="clear" w:color="auto" w:fill="auto"/>
        <w:tabs>
          <w:tab w:val="left" w:pos="648"/>
        </w:tabs>
        <w:spacing w:before="0"/>
        <w:ind w:firstLine="380"/>
      </w:pPr>
      <w:r>
        <w:t>по личному страхованию;</w:t>
      </w:r>
    </w:p>
    <w:p w:rsidR="003A35B3" w:rsidRDefault="00FC7EB6">
      <w:pPr>
        <w:pStyle w:val="20"/>
        <w:numPr>
          <w:ilvl w:val="0"/>
          <w:numId w:val="1"/>
        </w:numPr>
        <w:shd w:val="clear" w:color="auto" w:fill="auto"/>
        <w:tabs>
          <w:tab w:val="left" w:pos="648"/>
        </w:tabs>
        <w:spacing w:before="0"/>
        <w:ind w:firstLine="380"/>
      </w:pPr>
      <w:r>
        <w:t>по имущественному страхованию;</w:t>
      </w:r>
    </w:p>
    <w:p w:rsidR="003A35B3" w:rsidRDefault="00FC7EB6">
      <w:pPr>
        <w:pStyle w:val="20"/>
        <w:numPr>
          <w:ilvl w:val="0"/>
          <w:numId w:val="1"/>
        </w:numPr>
        <w:shd w:val="clear" w:color="auto" w:fill="auto"/>
        <w:tabs>
          <w:tab w:val="left" w:pos="648"/>
        </w:tabs>
        <w:spacing w:before="0"/>
        <w:ind w:firstLine="380"/>
      </w:pPr>
      <w:r>
        <w:t>по страхованию ответственности;</w:t>
      </w:r>
    </w:p>
    <w:p w:rsidR="003A35B3" w:rsidRDefault="00FC7EB6">
      <w:pPr>
        <w:pStyle w:val="20"/>
        <w:numPr>
          <w:ilvl w:val="0"/>
          <w:numId w:val="1"/>
        </w:numPr>
        <w:shd w:val="clear" w:color="auto" w:fill="auto"/>
        <w:tabs>
          <w:tab w:val="left" w:pos="648"/>
        </w:tabs>
        <w:spacing w:before="0"/>
        <w:ind w:firstLine="380"/>
      </w:pPr>
      <w:r>
        <w:t>по страхованию финансовых рисков.</w:t>
      </w:r>
    </w:p>
    <w:p w:rsidR="003A35B3" w:rsidRDefault="00FC7EB6">
      <w:pPr>
        <w:pStyle w:val="20"/>
        <w:shd w:val="clear" w:color="auto" w:fill="auto"/>
        <w:spacing w:before="0" w:after="322"/>
        <w:ind w:firstLine="380"/>
      </w:pPr>
      <w:r>
        <w:lastRenderedPageBreak/>
        <w:t>Наиболее сложные и трудоемкие актуарные расчеты в личном стра</w:t>
      </w:r>
      <w:r>
        <w:softHyphen/>
        <w:t>ховании. Это связано с необходимостью использования огромн</w:t>
      </w:r>
      <w:r>
        <w:t>ого мас</w:t>
      </w:r>
      <w:r>
        <w:softHyphen/>
        <w:t>сива данных по смертности людей в различные периоды их жизни, фак-</w:t>
      </w:r>
    </w:p>
    <w:p w:rsidR="003A35B3" w:rsidRDefault="00FC7EB6">
      <w:pPr>
        <w:pStyle w:val="30"/>
        <w:shd w:val="clear" w:color="auto" w:fill="auto"/>
        <w:spacing w:before="0" w:after="1902" w:line="190" w:lineRule="exact"/>
      </w:pPr>
      <w:r>
        <w:t>105</w:t>
      </w:r>
    </w:p>
    <w:p w:rsidR="003A35B3" w:rsidRDefault="00FC7EB6">
      <w:pPr>
        <w:pStyle w:val="20"/>
        <w:shd w:val="clear" w:color="auto" w:fill="auto"/>
        <w:spacing w:before="0" w:line="285" w:lineRule="exact"/>
      </w:pPr>
      <w:r>
        <w:t>торов рождаемости, заболеваемости, трудоспособности, выживаемости и длительности договоров страхования.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rPr>
          <w:rStyle w:val="21"/>
        </w:rPr>
        <w:t>По временному признаку</w:t>
      </w:r>
      <w:r>
        <w:t xml:space="preserve"> актуарные расчеты делятся на отчетные и плановые. Отчетные — это актуарные расчеты, которые произво</w:t>
      </w:r>
      <w:r>
        <w:softHyphen/>
        <w:t>дятся по уже совершенным операциям страховщика, т.е. по имею</w:t>
      </w:r>
      <w:r>
        <w:softHyphen/>
        <w:t>щимся отчетным данным. Эти расчеты ориентированы на деятельность страховщика в будущем периоде</w:t>
      </w:r>
      <w:r>
        <w:t xml:space="preserve"> при проведении данного вида стра</w:t>
      </w:r>
      <w:r>
        <w:softHyphen/>
        <w:t>хования. В связи с этим отчетные актуарные расчеты называют еще последующими. Плановые актуарные расчеты производятся при вве</w:t>
      </w:r>
      <w:r>
        <w:softHyphen/>
        <w:t xml:space="preserve">дении нового вида страхования, по которому отсутствуют какие-либо достоверные наблюдения риска. </w:t>
      </w:r>
      <w:r>
        <w:t>В этом случае используют результаты актуарных расчетов по однотипным или близким по содержанию видам страхования, которые уже проводятся страховой компанией. По исте</w:t>
      </w:r>
      <w:r>
        <w:softHyphen/>
        <w:t>чении определенного срока (не менее трех лет) анализируются полу</w:t>
      </w:r>
      <w:r>
        <w:softHyphen/>
        <w:t>ченные статистические дан</w:t>
      </w:r>
      <w:r>
        <w:t>ные по определенному риску и в плановые актуарные расчеты вносятся соответствующие коррективы.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  <w:sectPr w:rsidR="003A35B3">
          <w:type w:val="continuous"/>
          <w:pgSz w:w="8340" w:h="9206"/>
          <w:pgMar w:top="54" w:right="110" w:bottom="282" w:left="77" w:header="0" w:footer="3" w:gutter="0"/>
          <w:cols w:space="720"/>
          <w:noEndnote/>
          <w:docGrid w:linePitch="360"/>
        </w:sectPr>
      </w:pPr>
      <w:r>
        <w:rPr>
          <w:rStyle w:val="21"/>
        </w:rPr>
        <w:t>По иерархическому признаку</w:t>
      </w:r>
      <w:r>
        <w:t xml:space="preserve"> актуарные расчеты могут быть феде</w:t>
      </w:r>
      <w:r>
        <w:softHyphen/>
        <w:t>ральными (общими для всей территории РФ); региональными (произ</w:t>
      </w:r>
      <w:r>
        <w:softHyphen/>
        <w:t>веденными для о</w:t>
      </w:r>
      <w:r>
        <w:t xml:space="preserve">тдельных регионов — область, край, город, район); </w:t>
      </w:r>
      <w:r>
        <w:lastRenderedPageBreak/>
        <w:t>индивидуальными, выполняемыми для конкретной страховой компа</w:t>
      </w:r>
      <w:r>
        <w:softHyphen/>
        <w:t>нии.</w:t>
      </w:r>
    </w:p>
    <w:p w:rsidR="003A35B3" w:rsidRDefault="00FC7EB6">
      <w:pPr>
        <w:pStyle w:val="10"/>
        <w:keepNext/>
        <w:keepLines/>
        <w:shd w:val="clear" w:color="auto" w:fill="auto"/>
        <w:spacing w:after="204" w:line="240" w:lineRule="exact"/>
        <w:ind w:left="20"/>
      </w:pPr>
      <w:bookmarkStart w:id="1" w:name="bookmark1"/>
      <w:r>
        <w:lastRenderedPageBreak/>
        <w:t>4.2. Показатели страховой статистики</w:t>
      </w:r>
      <w:bookmarkEnd w:id="1"/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>В актуарных расчетах используются показатели страховой стати</w:t>
      </w:r>
      <w:r>
        <w:softHyphen/>
        <w:t xml:space="preserve">стики. Страховая статистика направлена на </w:t>
      </w:r>
      <w:r>
        <w:t>изучение и систематиза</w:t>
      </w:r>
      <w:r>
        <w:softHyphen/>
        <w:t>цию наиболее типичных и массовых явлений в страховании, а также на анализ их динамики. Основными абсолютными показателями стра</w:t>
      </w:r>
      <w:r>
        <w:softHyphen/>
        <w:t>ховой статистики являются: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rPr>
          <w:rStyle w:val="21"/>
        </w:rPr>
        <w:t>п</w:t>
      </w:r>
      <w:r>
        <w:t xml:space="preserve"> — число объектов страхования;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>Г — число страховых событий;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rPr>
          <w:rStyle w:val="21"/>
        </w:rPr>
        <w:t>т</w:t>
      </w:r>
      <w:r>
        <w:t xml:space="preserve"> — число пострада</w:t>
      </w:r>
      <w:r>
        <w:t>вших объектов в результате страховых событий;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rPr>
          <w:rStyle w:val="21"/>
        </w:rPr>
        <w:t>ХР</w:t>
      </w:r>
      <w:r>
        <w:t xml:space="preserve"> — сумма собранных страховых платежей;</w:t>
      </w:r>
    </w:p>
    <w:p w:rsidR="003A35B3" w:rsidRDefault="00FC7EB6">
      <w:pPr>
        <w:pStyle w:val="20"/>
        <w:shd w:val="clear" w:color="auto" w:fill="auto"/>
        <w:spacing w:before="0" w:line="285" w:lineRule="exact"/>
        <w:ind w:left="760"/>
        <w:jc w:val="left"/>
      </w:pPr>
      <w:r>
        <w:t>— сумма выплаченного страхового возмещения;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rPr>
          <w:rStyle w:val="21"/>
        </w:rPr>
        <w:t>Х5</w:t>
      </w:r>
      <w:r>
        <w:rPr>
          <w:rStyle w:val="21"/>
          <w:vertAlign w:val="subscript"/>
        </w:rPr>
        <w:t>г;</w:t>
      </w:r>
      <w:r>
        <w:t xml:space="preserve"> — страховая сумма всех объектов страхования;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>25,„ — страховая сумма, приходящаяся на поврежденный объект страховой совок</w:t>
      </w:r>
      <w:r>
        <w:t>упности.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>Кроме перечисленных показателей, в актуарных расчетах использу</w:t>
      </w:r>
      <w:r>
        <w:softHyphen/>
        <w:t>ются и расчетные показатели страховой статистики.</w:t>
      </w:r>
    </w:p>
    <w:p w:rsidR="003A35B3" w:rsidRDefault="00FC7EB6">
      <w:pPr>
        <w:pStyle w:val="20"/>
        <w:shd w:val="clear" w:color="auto" w:fill="auto"/>
        <w:spacing w:before="0" w:after="216" w:line="285" w:lineRule="exact"/>
        <w:ind w:firstLine="360"/>
      </w:pPr>
      <w:r>
        <w:rPr>
          <w:rStyle w:val="21"/>
        </w:rPr>
        <w:t>Частота страховых случаев</w:t>
      </w:r>
      <w:r>
        <w:t xml:space="preserve"> (Ч</w:t>
      </w:r>
      <w:r>
        <w:rPr>
          <w:vertAlign w:val="subscript"/>
        </w:rPr>
        <w:t>с</w:t>
      </w:r>
      <w:r>
        <w:t>), которая показывает, сколько страховых случаев приходится на один объект страхования, и рассчи</w:t>
      </w:r>
      <w:r>
        <w:softHyphen/>
        <w:t>тывается</w:t>
      </w:r>
      <w:r>
        <w:t xml:space="preserve"> по формуле</w:t>
      </w:r>
    </w:p>
    <w:p w:rsidR="003A35B3" w:rsidRDefault="00FC7EB6">
      <w:pPr>
        <w:pStyle w:val="20"/>
        <w:shd w:val="clear" w:color="auto" w:fill="auto"/>
        <w:spacing w:before="0" w:after="77" w:line="240" w:lineRule="exact"/>
        <w:ind w:left="20"/>
        <w:jc w:val="center"/>
      </w:pPr>
      <w:r>
        <w:t>Ч</w:t>
      </w:r>
      <w:r>
        <w:rPr>
          <w:vertAlign w:val="subscript"/>
        </w:rPr>
        <w:t>с</w:t>
      </w:r>
      <w:r>
        <w:t xml:space="preserve"> = Г/ п.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>Если данный показатель меньше единицы, это означает, что одно страховое событие повлекло за собой несколько страховых случаев.</w:t>
      </w:r>
    </w:p>
    <w:p w:rsidR="003A35B3" w:rsidRDefault="00FC7EB6">
      <w:pPr>
        <w:pStyle w:val="20"/>
        <w:shd w:val="clear" w:color="auto" w:fill="auto"/>
        <w:spacing w:before="0" w:after="276" w:line="285" w:lineRule="exact"/>
        <w:ind w:firstLine="360"/>
      </w:pPr>
      <w:r>
        <w:rPr>
          <w:rStyle w:val="21"/>
        </w:rPr>
        <w:t xml:space="preserve">Коэффициент кумуляции риска </w:t>
      </w:r>
      <w:r>
        <w:rPr>
          <w:rStyle w:val="21pt"/>
        </w:rPr>
        <w:t>(К</w:t>
      </w:r>
      <w:r>
        <w:rPr>
          <w:rStyle w:val="21pt"/>
          <w:vertAlign w:val="subscript"/>
        </w:rPr>
        <w:t>к</w:t>
      </w:r>
      <w:r>
        <w:rPr>
          <w:rStyle w:val="21pt"/>
        </w:rPr>
        <w:t>)</w:t>
      </w:r>
      <w:r>
        <w:t xml:space="preserve"> показывает среднее число застрахованных объектов, пострадавших от страхового события, и рас</w:t>
      </w:r>
      <w:r>
        <w:softHyphen/>
        <w:t>считывается как отношение числа пострадавших объектов к числу страховых событий:</w:t>
      </w:r>
    </w:p>
    <w:p w:rsidR="003A35B3" w:rsidRDefault="00FC7EB6">
      <w:pPr>
        <w:pStyle w:val="40"/>
        <w:shd w:val="clear" w:color="auto" w:fill="auto"/>
        <w:spacing w:before="0" w:after="197" w:line="240" w:lineRule="exact"/>
        <w:ind w:left="20"/>
      </w:pPr>
      <w:r>
        <w:t>К</w:t>
      </w:r>
      <w:r>
        <w:rPr>
          <w:vertAlign w:val="subscript"/>
        </w:rPr>
        <w:t>к</w:t>
      </w:r>
      <w:r>
        <w:t xml:space="preserve"> = т /</w:t>
      </w:r>
      <w:r>
        <w:rPr>
          <w:rStyle w:val="4Consolas75pt-1pt"/>
        </w:rPr>
        <w:t xml:space="preserve"> Г.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80"/>
      </w:pPr>
      <w:r>
        <w:t xml:space="preserve">Минимальное значение данного показателя равно единице, если </w:t>
      </w:r>
      <w:r>
        <w:lastRenderedPageBreak/>
        <w:t>коэффициен</w:t>
      </w:r>
      <w:r>
        <w:t>т кумуляции больше единицы, то это указывает на большее численное различие между числом страховых событий и числом стра</w:t>
      </w:r>
      <w:r>
        <w:softHyphen/>
        <w:t>ховых случаев. Страховые компании стараются избегать сделок с высо</w:t>
      </w:r>
      <w:r>
        <w:softHyphen/>
        <w:t>ким уровнем коэффициента кумуляции.</w:t>
      </w:r>
    </w:p>
    <w:p w:rsidR="003A35B3" w:rsidRDefault="00FC7EB6">
      <w:pPr>
        <w:pStyle w:val="20"/>
        <w:shd w:val="clear" w:color="auto" w:fill="auto"/>
        <w:spacing w:before="0" w:after="276" w:line="285" w:lineRule="exact"/>
        <w:ind w:firstLine="380"/>
      </w:pPr>
      <w:r>
        <w:rPr>
          <w:rStyle w:val="21"/>
        </w:rPr>
        <w:t>Средняя страховая сумма на один о</w:t>
      </w:r>
      <w:r>
        <w:rPr>
          <w:rStyle w:val="21"/>
        </w:rPr>
        <w:t>бъект (договор) страхова</w:t>
      </w:r>
      <w:r>
        <w:rPr>
          <w:rStyle w:val="21"/>
        </w:rPr>
        <w:softHyphen/>
        <w:t>ния</w:t>
      </w:r>
      <w:r>
        <w:t xml:space="preserve"> ($</w:t>
      </w:r>
      <w:r>
        <w:rPr>
          <w:vertAlign w:val="subscript"/>
        </w:rPr>
        <w:t>сп</w:t>
      </w:r>
      <w:r>
        <w:t>) рассчитывается как отношение общей страховой суммы всех застрахованных объектов к числу всех объектов страхования:</w:t>
      </w:r>
    </w:p>
    <w:p w:rsidR="003A35B3" w:rsidRDefault="00FC7EB6">
      <w:pPr>
        <w:pStyle w:val="50"/>
        <w:shd w:val="clear" w:color="auto" w:fill="auto"/>
        <w:tabs>
          <w:tab w:val="left" w:pos="4398"/>
        </w:tabs>
        <w:spacing w:before="0" w:after="137" w:line="240" w:lineRule="exact"/>
        <w:ind w:left="3400"/>
      </w:pPr>
      <w:r>
        <w:t xml:space="preserve">^сп </w:t>
      </w:r>
      <w:r>
        <w:rPr>
          <w:vertAlign w:val="superscript"/>
        </w:rPr>
        <w:t>=</w:t>
      </w:r>
      <w:r>
        <w:tab/>
      </w:r>
      <w:r>
        <w:rPr>
          <w:rStyle w:val="5Constantia12pt0pt"/>
        </w:rPr>
        <w:t>/п.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80"/>
      </w:pPr>
      <w:r>
        <w:t>В актуарных расчетах применяются различные методы расчета сред</w:t>
      </w:r>
      <w:r>
        <w:softHyphen/>
        <w:t>них величин, это объясняется тем,</w:t>
      </w:r>
      <w:r>
        <w:t xml:space="preserve"> что объекты имущественного стра</w:t>
      </w:r>
      <w:r>
        <w:softHyphen/>
        <w:t>хования обладают различными страховыми суммами.</w:t>
      </w:r>
    </w:p>
    <w:p w:rsidR="003A35B3" w:rsidRDefault="00FC7EB6">
      <w:pPr>
        <w:pStyle w:val="20"/>
        <w:shd w:val="clear" w:color="auto" w:fill="auto"/>
        <w:spacing w:before="0" w:after="336" w:line="285" w:lineRule="exact"/>
        <w:ind w:firstLine="380"/>
      </w:pPr>
      <w:r>
        <w:rPr>
          <w:rStyle w:val="21"/>
        </w:rPr>
        <w:t>Средняя страховая сумма на один пострадавший объект</w:t>
      </w:r>
      <w:r>
        <w:t xml:space="preserve"> (5</w:t>
      </w:r>
      <w:r>
        <w:rPr>
          <w:vertAlign w:val="subscript"/>
        </w:rPr>
        <w:t>17п</w:t>
      </w:r>
      <w:r>
        <w:t>) представляет собой отношение страховой суммы всех пострадавших объектов страховой совокупности к числу этих объектов</w:t>
      </w:r>
      <w:r>
        <w:t>:</w:t>
      </w:r>
    </w:p>
    <w:p w:rsidR="003A35B3" w:rsidRDefault="00FC7EB6">
      <w:pPr>
        <w:pStyle w:val="60"/>
        <w:shd w:val="clear" w:color="auto" w:fill="auto"/>
        <w:spacing w:before="0" w:after="138" w:line="240" w:lineRule="exact"/>
        <w:ind w:left="4400"/>
      </w:pPr>
      <w:r>
        <w:rPr>
          <w:rStyle w:val="61"/>
        </w:rPr>
        <w:t xml:space="preserve">/ </w:t>
      </w:r>
      <w:r>
        <w:t>т■</w:t>
      </w:r>
    </w:p>
    <w:p w:rsidR="003A35B3" w:rsidRDefault="00FC7EB6">
      <w:pPr>
        <w:pStyle w:val="20"/>
        <w:shd w:val="clear" w:color="auto" w:fill="auto"/>
        <w:spacing w:before="0" w:after="282"/>
        <w:ind w:firstLine="380"/>
      </w:pPr>
      <w:r>
        <w:t>Расчет последних двух показателей имеет большое практическое значение, так как с их помощью рассчитывают такой показатель стра</w:t>
      </w:r>
      <w:r>
        <w:softHyphen/>
        <w:t xml:space="preserve">ховой статистики, как </w:t>
      </w:r>
      <w:r>
        <w:rPr>
          <w:rStyle w:val="21"/>
        </w:rPr>
        <w:t>тяжесть риска</w:t>
      </w:r>
      <w:r>
        <w:t xml:space="preserve"> (К</w:t>
      </w:r>
      <w:r>
        <w:rPr>
          <w:vertAlign w:val="subscript"/>
        </w:rPr>
        <w:t>т</w:t>
      </w:r>
      <w:r>
        <w:t>). Тяжесть риска представ</w:t>
      </w:r>
      <w:r>
        <w:softHyphen/>
        <w:t>ляет собой отношение средней страховой суммы на один пост</w:t>
      </w:r>
      <w:r>
        <w:t>радавший объект к средней страховой сумме па один объект страхования:</w:t>
      </w:r>
    </w:p>
    <w:p w:rsidR="003A35B3" w:rsidRDefault="00FC7EB6">
      <w:pPr>
        <w:pStyle w:val="20"/>
        <w:shd w:val="clear" w:color="auto" w:fill="auto"/>
        <w:spacing w:before="0" w:line="240" w:lineRule="exact"/>
        <w:ind w:left="20"/>
        <w:jc w:val="center"/>
        <w:sectPr w:rsidR="003A35B3">
          <w:footerReference w:type="even" r:id="rId7"/>
          <w:footerReference w:type="first" r:id="rId8"/>
          <w:pgSz w:w="8340" w:h="9206"/>
          <w:pgMar w:top="54" w:right="110" w:bottom="282" w:left="77" w:header="0" w:footer="3" w:gutter="0"/>
          <w:cols w:space="720"/>
          <w:noEndnote/>
          <w:titlePg/>
          <w:docGrid w:linePitch="360"/>
        </w:sectPr>
      </w:pPr>
      <w:r>
        <w:t>К</w:t>
      </w:r>
      <w:r>
        <w:rPr>
          <w:vertAlign w:val="subscript"/>
        </w:rPr>
        <w:t>т</w:t>
      </w:r>
      <w:r>
        <w:t xml:space="preserve"> = (5</w:t>
      </w:r>
      <w:r>
        <w:rPr>
          <w:vertAlign w:val="subscript"/>
        </w:rPr>
        <w:t>т</w:t>
      </w:r>
      <w:r>
        <w:t>/т)/(5„/п)=5</w:t>
      </w:r>
      <w:r>
        <w:rPr>
          <w:vertAlign w:val="subscript"/>
        </w:rPr>
        <w:t>с</w:t>
      </w:r>
      <w:r>
        <w:t>,„/5</w:t>
      </w:r>
      <w:r>
        <w:rPr>
          <w:vertAlign w:val="subscript"/>
        </w:rPr>
        <w:t>с</w:t>
      </w:r>
      <w:r>
        <w:t>„.</w:t>
      </w:r>
    </w:p>
    <w:p w:rsidR="003A35B3" w:rsidRDefault="00FC7EB6">
      <w:pPr>
        <w:pStyle w:val="70"/>
        <w:shd w:val="clear" w:color="auto" w:fill="auto"/>
        <w:spacing w:after="140" w:line="260" w:lineRule="exact"/>
        <w:ind w:left="20"/>
      </w:pPr>
      <w:r>
        <w:lastRenderedPageBreak/>
        <w:t>К</w:t>
      </w:r>
      <w:r>
        <w:rPr>
          <w:vertAlign w:val="subscript"/>
        </w:rPr>
        <w:t>т</w:t>
      </w:r>
      <w:r>
        <w:t>=(5</w:t>
      </w:r>
      <w:r>
        <w:rPr>
          <w:vertAlign w:val="subscript"/>
        </w:rPr>
        <w:t>т</w:t>
      </w:r>
      <w:r>
        <w:t>/т)/(5</w:t>
      </w:r>
      <w:r>
        <w:rPr>
          <w:vertAlign w:val="subscript"/>
        </w:rPr>
        <w:t>п</w:t>
      </w:r>
      <w:r>
        <w:t xml:space="preserve"> /п)=5</w:t>
      </w:r>
      <w:r>
        <w:rPr>
          <w:vertAlign w:val="subscript"/>
        </w:rPr>
        <w:t>ст</w:t>
      </w:r>
      <w:r>
        <w:t>/8</w:t>
      </w:r>
      <w:r>
        <w:rPr>
          <w:vertAlign w:val="subscript"/>
        </w:rPr>
        <w:t>сп</w:t>
      </w:r>
      <w:r>
        <w:t>.</w:t>
      </w:r>
    </w:p>
    <w:p w:rsidR="003A35B3" w:rsidRDefault="00FC7EB6">
      <w:pPr>
        <w:pStyle w:val="20"/>
        <w:shd w:val="clear" w:color="auto" w:fill="auto"/>
        <w:spacing w:before="0" w:line="285" w:lineRule="exact"/>
        <w:ind w:firstLine="360"/>
      </w:pPr>
      <w:r>
        <w:t xml:space="preserve">Используя данный </w:t>
      </w:r>
      <w:r>
        <w:t>показатель, страховые компании производят оценку и переоценку частоты проявления страхового события.</w:t>
      </w:r>
    </w:p>
    <w:p w:rsidR="003A35B3" w:rsidRDefault="00FC7EB6">
      <w:pPr>
        <w:pStyle w:val="20"/>
        <w:shd w:val="clear" w:color="auto" w:fill="auto"/>
        <w:spacing w:before="0" w:after="276" w:line="285" w:lineRule="exact"/>
        <w:ind w:firstLine="360"/>
      </w:pPr>
      <w:r>
        <w:rPr>
          <w:rStyle w:val="21"/>
        </w:rPr>
        <w:t>Убыточность страховой суммы, или вероятность ущерба</w:t>
      </w:r>
      <w:r>
        <w:t xml:space="preserve"> (У), представляет собой отношение выплаченного страхового возмеще</w:t>
      </w:r>
      <w:r>
        <w:softHyphen/>
        <w:t xml:space="preserve">ния к страховой сумме всех объектов </w:t>
      </w:r>
      <w:r>
        <w:t>страхования и рассчитывается по формуле</w:t>
      </w:r>
    </w:p>
    <w:p w:rsidR="003A35B3" w:rsidRDefault="00FC7EB6">
      <w:pPr>
        <w:pStyle w:val="20"/>
        <w:shd w:val="clear" w:color="auto" w:fill="auto"/>
        <w:spacing w:before="0" w:after="131" w:line="240" w:lineRule="exact"/>
        <w:ind w:left="20"/>
        <w:jc w:val="center"/>
      </w:pPr>
      <w:r>
        <w:t>У = 2^/25,,.</w:t>
      </w:r>
    </w:p>
    <w:p w:rsidR="003A35B3" w:rsidRDefault="00FC7EB6">
      <w:pPr>
        <w:pStyle w:val="20"/>
        <w:shd w:val="clear" w:color="auto" w:fill="auto"/>
        <w:spacing w:before="0"/>
        <w:ind w:firstLine="360"/>
      </w:pPr>
      <w:r>
        <w:t>Значение данного показателя всегда меньше единицы, значение больше единицы недопустимо, так как ото означало бы недостраховапие.</w:t>
      </w:r>
    </w:p>
    <w:p w:rsidR="003A35B3" w:rsidRDefault="00FC7EB6">
      <w:pPr>
        <w:pStyle w:val="20"/>
        <w:shd w:val="clear" w:color="auto" w:fill="auto"/>
        <w:spacing w:before="0" w:after="282"/>
        <w:ind w:firstLine="360"/>
      </w:pPr>
      <w:r>
        <w:rPr>
          <w:rStyle w:val="21"/>
        </w:rPr>
        <w:t>Норма убыточности, или коэффициент выплат</w:t>
      </w:r>
      <w:r>
        <w:t xml:space="preserve"> (/V), рассчиты</w:t>
      </w:r>
      <w:r>
        <w:softHyphen/>
        <w:t>вается как отноше</w:t>
      </w:r>
      <w:r>
        <w:t>ние суммы выплаченного страхового возмещения к сумме собранных страховых взносов, умноженное на 100%:</w:t>
      </w:r>
    </w:p>
    <w:p w:rsidR="003A35B3" w:rsidRDefault="00FC7EB6">
      <w:pPr>
        <w:pStyle w:val="80"/>
        <w:shd w:val="clear" w:color="auto" w:fill="auto"/>
        <w:spacing w:before="0" w:line="240" w:lineRule="exact"/>
        <w:ind w:left="20"/>
      </w:pPr>
      <w:r>
        <w:t>А/ = Хд</w:t>
      </w:r>
      <w:bookmarkStart w:id="2" w:name="_GoBack"/>
      <w:bookmarkEnd w:id="2"/>
      <w:r>
        <w:t xml:space="preserve">/1Р х </w:t>
      </w:r>
      <w:r>
        <w:rPr>
          <w:rStyle w:val="81"/>
        </w:rPr>
        <w:t>100%.</w:t>
      </w:r>
    </w:p>
    <w:p w:rsidR="003A35B3" w:rsidRDefault="00FC7EB6">
      <w:pPr>
        <w:pStyle w:val="20"/>
        <w:shd w:val="clear" w:color="auto" w:fill="auto"/>
        <w:spacing w:before="0" w:after="282"/>
        <w:ind w:firstLine="360"/>
        <w:jc w:val="left"/>
      </w:pPr>
      <w:r>
        <w:rPr>
          <w:rStyle w:val="21"/>
        </w:rPr>
        <w:t>Частота ущерба</w:t>
      </w:r>
      <w:r>
        <w:t xml:space="preserve"> (Ч</w:t>
      </w:r>
      <w:r>
        <w:rPr>
          <w:vertAlign w:val="subscript"/>
        </w:rPr>
        <w:t>у</w:t>
      </w:r>
      <w:r>
        <w:t xml:space="preserve">) показывает частоту наступления страхового </w:t>
      </w:r>
      <w:r>
        <w:lastRenderedPageBreak/>
        <w:t>случая:</w:t>
      </w:r>
    </w:p>
    <w:p w:rsidR="003A35B3" w:rsidRDefault="00FC7EB6">
      <w:pPr>
        <w:pStyle w:val="60"/>
        <w:shd w:val="clear" w:color="auto" w:fill="auto"/>
        <w:spacing w:before="0" w:after="132" w:line="240" w:lineRule="exact"/>
        <w:ind w:left="40"/>
        <w:jc w:val="center"/>
      </w:pPr>
      <w:r>
        <w:rPr>
          <w:rStyle w:val="61"/>
        </w:rPr>
        <w:t>Ч</w:t>
      </w:r>
      <w:r>
        <w:rPr>
          <w:rStyle w:val="61"/>
          <w:vertAlign w:val="subscript"/>
        </w:rPr>
        <w:t>у</w:t>
      </w:r>
      <w:r>
        <w:rPr>
          <w:rStyle w:val="61"/>
        </w:rPr>
        <w:t xml:space="preserve"> = </w:t>
      </w:r>
      <w:r>
        <w:t>т / п.</w:t>
      </w:r>
    </w:p>
    <w:p w:rsidR="003A35B3" w:rsidRDefault="00FC7EB6">
      <w:pPr>
        <w:pStyle w:val="20"/>
        <w:shd w:val="clear" w:color="auto" w:fill="auto"/>
        <w:spacing w:before="0" w:line="300" w:lineRule="exact"/>
        <w:ind w:firstLine="360"/>
        <w:jc w:val="left"/>
      </w:pPr>
      <w:r>
        <w:t xml:space="preserve">Данный показатель характеризует частоту наступления </w:t>
      </w:r>
      <w:r>
        <w:t>страхового случая и всегда должен быть меньше единицы.</w:t>
      </w:r>
    </w:p>
    <w:sectPr w:rsidR="003A35B3">
      <w:pgSz w:w="8490" w:h="5453" w:orient="landscape"/>
      <w:pgMar w:top="3" w:right="253" w:bottom="487" w:left="9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EB6" w:rsidRDefault="00FC7EB6">
      <w:r>
        <w:separator/>
      </w:r>
    </w:p>
  </w:endnote>
  <w:endnote w:type="continuationSeparator" w:id="0">
    <w:p w:rsidR="00FC7EB6" w:rsidRDefault="00FC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5B3" w:rsidRDefault="0013087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81915</wp:posOffset>
              </wp:positionH>
              <wp:positionV relativeFrom="page">
                <wp:posOffset>3347085</wp:posOffset>
              </wp:positionV>
              <wp:extent cx="200660" cy="158750"/>
              <wp:effectExtent l="0" t="3810" r="381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5B3" w:rsidRDefault="00FC7EB6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ylfaen95pt0pt"/>
                            </w:rPr>
                            <w:t>108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.45pt;margin-top:263.55pt;width:15.8pt;height:12.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" filled="f" stroked="f">
              <v:textbox style="mso-fit-shape-to-text:t" inset="0,0,0,0">
                <w:txbxContent>
                  <w:p w:rsidR="003A35B3" w:rsidRDefault="00FC7EB6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Sylfaen95pt0pt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5B3" w:rsidRDefault="0013087F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5001895</wp:posOffset>
              </wp:positionH>
              <wp:positionV relativeFrom="page">
                <wp:posOffset>5723890</wp:posOffset>
              </wp:positionV>
              <wp:extent cx="180340" cy="132715"/>
              <wp:effectExtent l="127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5B3" w:rsidRDefault="00FC7EB6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t>107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93.85pt;margin-top:450.7pt;width:14.2pt;height:10.4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" filled="f" stroked="f">
              <v:textbox style="mso-fit-shape-to-text:t" inset="0,0,0,0">
                <w:txbxContent>
                  <w:p w:rsidR="003A35B3" w:rsidRDefault="00FC7EB6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t>107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EB6" w:rsidRDefault="00FC7EB6"/>
  </w:footnote>
  <w:footnote w:type="continuationSeparator" w:id="0">
    <w:p w:rsidR="00FC7EB6" w:rsidRDefault="00FC7E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A38FF"/>
    <w:multiLevelType w:val="multilevel"/>
    <w:tmpl w:val="C2303E00"/>
    <w:lvl w:ilvl="0">
      <w:start w:val="1"/>
      <w:numFmt w:val="bullet"/>
      <w:lvlText w:val="•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B3"/>
    <w:rsid w:val="0013087F"/>
    <w:rsid w:val="003A35B3"/>
    <w:rsid w:val="00F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C18514-D0AD-470F-A76C-8948F8FB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 + Курсив"/>
    <w:basedOn w:val="2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Колонтитул_"/>
    <w:basedOn w:val="a0"/>
    <w:link w:val="a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Колонтитул"/>
    <w:basedOn w:val="a4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pt">
    <w:name w:val="Основной текст (2) + Курсив;Интервал 1 pt"/>
    <w:basedOn w:val="2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Cambria" w:eastAsia="Cambria" w:hAnsi="Cambria" w:cs="Cambria"/>
      <w:b w:val="0"/>
      <w:bCs w:val="0"/>
      <w:i/>
      <w:iCs/>
      <w:smallCaps w:val="0"/>
      <w:strike w:val="0"/>
      <w:u w:val="none"/>
    </w:rPr>
  </w:style>
  <w:style w:type="character" w:customStyle="1" w:styleId="4Consolas75pt-1pt">
    <w:name w:val="Основной текст (4) + Consolas;7;5 pt;Не курсив;Интервал -1 pt"/>
    <w:basedOn w:val="4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20"/>
      <w:sz w:val="19"/>
      <w:szCs w:val="19"/>
      <w:u w:val="none"/>
    </w:rPr>
  </w:style>
  <w:style w:type="character" w:customStyle="1" w:styleId="5Constantia12pt0pt">
    <w:name w:val="Основной текст (5) + Constantia;12 pt;Курсив;Интервал 0 pt"/>
    <w:basedOn w:val="5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Cambria" w:eastAsia="Cambria" w:hAnsi="Cambria" w:cs="Cambria"/>
      <w:b w:val="0"/>
      <w:bCs w:val="0"/>
      <w:i/>
      <w:iCs/>
      <w:smallCaps w:val="0"/>
      <w:strike w:val="0"/>
      <w:u w:val="none"/>
    </w:rPr>
  </w:style>
  <w:style w:type="character" w:customStyle="1" w:styleId="61">
    <w:name w:val="Основной текст (6) + Не курсив"/>
    <w:basedOn w:val="6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Cambria" w:eastAsia="Cambria" w:hAnsi="Cambria" w:cs="Cambria"/>
      <w:b w:val="0"/>
      <w:bCs w:val="0"/>
      <w:i/>
      <w:iCs/>
      <w:smallCaps w:val="0"/>
      <w:strike w:val="0"/>
      <w:spacing w:val="30"/>
      <w:sz w:val="26"/>
      <w:szCs w:val="26"/>
      <w:u w:val="none"/>
    </w:rPr>
  </w:style>
  <w:style w:type="character" w:customStyle="1" w:styleId="Sylfaen95pt0pt">
    <w:name w:val="Колонтитул + Sylfaen;9;5 pt;Интервал 0 pt"/>
    <w:basedOn w:val="a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81">
    <w:name w:val="Основной текст (8)"/>
    <w:basedOn w:val="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jc w:val="center"/>
      <w:outlineLvl w:val="0"/>
    </w:pPr>
    <w:rPr>
      <w:rFonts w:ascii="Trebuchet MS" w:eastAsia="Trebuchet MS" w:hAnsi="Trebuchet MS" w:cs="Trebuchet M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line="293" w:lineRule="exact"/>
      <w:jc w:val="both"/>
    </w:pPr>
    <w:rPr>
      <w:rFonts w:ascii="Cambria" w:eastAsia="Cambria" w:hAnsi="Cambria" w:cs="Cambria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after="1980" w:line="0" w:lineRule="atLeast"/>
      <w:jc w:val="right"/>
    </w:pPr>
    <w:rPr>
      <w:rFonts w:ascii="Trebuchet MS" w:eastAsia="Trebuchet MS" w:hAnsi="Trebuchet MS" w:cs="Trebuchet MS"/>
      <w:sz w:val="19"/>
      <w:szCs w:val="19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8"/>
      <w:szCs w:val="1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0" w:after="300" w:line="0" w:lineRule="atLeast"/>
      <w:jc w:val="center"/>
    </w:pPr>
    <w:rPr>
      <w:rFonts w:ascii="Cambria" w:eastAsia="Cambria" w:hAnsi="Cambria" w:cs="Cambria"/>
      <w:i/>
      <w:iCs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  <w:jc w:val="both"/>
    </w:pPr>
    <w:rPr>
      <w:rFonts w:ascii="Cambria" w:eastAsia="Cambria" w:hAnsi="Cambria" w:cs="Cambria"/>
      <w:spacing w:val="-20"/>
      <w:sz w:val="19"/>
      <w:szCs w:val="19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300" w:after="240" w:line="0" w:lineRule="atLeast"/>
    </w:pPr>
    <w:rPr>
      <w:rFonts w:ascii="Cambria" w:eastAsia="Cambria" w:hAnsi="Cambria" w:cs="Cambria"/>
      <w:i/>
      <w:iCs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  <w:jc w:val="center"/>
    </w:pPr>
    <w:rPr>
      <w:rFonts w:ascii="Cambria" w:eastAsia="Cambria" w:hAnsi="Cambria" w:cs="Cambria"/>
      <w:i/>
      <w:iCs/>
      <w:spacing w:val="30"/>
      <w:sz w:val="26"/>
      <w:szCs w:val="2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240" w:line="0" w:lineRule="atLeast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Васильев</dc:creator>
  <cp:lastModifiedBy>Дмитрий Васильев</cp:lastModifiedBy>
  <cp:revision>1</cp:revision>
  <dcterms:created xsi:type="dcterms:W3CDTF">2018-12-19T09:06:00Z</dcterms:created>
  <dcterms:modified xsi:type="dcterms:W3CDTF">2018-12-19T09:07:00Z</dcterms:modified>
</cp:coreProperties>
</file>