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Апареев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шаблон сценария для NS-2;</w:t>
      </w:r>
    </w:p>
    <w:p>
      <w:pPr>
        <w:pStyle w:val="Compact"/>
        <w:numPr>
          <w:ilvl w:val="0"/>
          <w:numId w:val="1001"/>
        </w:numPr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усложнённой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кольцевой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p>
      <w:pPr>
        <w:pStyle w:val="CaptionedFigure"/>
      </w:pPr>
      <w:r>
        <w:drawing>
          <wp:inline>
            <wp:extent cx="3733800" cy="850580"/>
            <wp:effectExtent b="0" l="0" r="0" t="0"/>
            <wp:docPr descr="Создание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директорий и файла</w:t>
      </w:r>
    </w:p>
    <w:p>
      <w:pPr>
        <w:pStyle w:val="BodyText"/>
      </w:pPr>
      <w:r>
        <w:t xml:space="preserve">Откроем на редактирование файл shablon.tcl (рис. 2).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p>
      <w:pPr>
        <w:pStyle w:val="CaptionedFigure"/>
      </w:pPr>
      <w:r>
        <w:drawing>
          <wp:inline>
            <wp:extent cx="3733800" cy="3876583"/>
            <wp:effectExtent b="0" l="0" r="0" t="0"/>
            <wp:docPr descr="Редактирование файла shablon.tc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shablon.tcl</w:t>
      </w:r>
    </w:p>
    <w:p>
      <w:pPr>
        <w:pStyle w:val="BodyText"/>
      </w:pPr>
      <w:r>
        <w:t xml:space="preserve">Сохранив изменения в отредактированном файле shablon.tcl и закрыв его, запустим симулятор командой</w:t>
      </w:r>
      <w:r>
        <w:t xml:space="preserve"> </w:t>
      </w:r>
      <w:r>
        <w:rPr>
          <w:rStyle w:val="VerbatimChar"/>
        </w:rPr>
        <w:t xml:space="preserve">ns shablon.tcl</w:t>
      </w:r>
      <w:r>
        <w:t xml:space="preserve">. Увидим пустую область моделирования, поскольку ещё не определены никакие объекты и действия (рис. 3).</w:t>
      </w:r>
    </w:p>
    <w:p>
      <w:pPr>
        <w:pStyle w:val="CaptionedFigure"/>
      </w:pPr>
      <w:r>
        <w:drawing>
          <wp:inline>
            <wp:extent cx="3733800" cy="3570092"/>
            <wp:effectExtent b="0" l="0" r="0" t="0"/>
            <wp:docPr descr="Запуск шаблона сценария для NS-2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шаблона сценария для NS-2</w:t>
      </w:r>
    </w:p>
    <w:bookmarkEnd w:id="31"/>
    <w:bookmarkStart w:id="38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и 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 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4).</w:t>
      </w:r>
    </w:p>
    <w:p>
      <w:pPr>
        <w:pStyle w:val="CaptionedFigure"/>
      </w:pPr>
      <w:r>
        <w:drawing>
          <wp:inline>
            <wp:extent cx="3733800" cy="4592225"/>
            <wp:effectExtent b="0" l="0" r="0" t="0"/>
            <wp:docPr descr="Пример описания топологии сети, состоящей из двух узлов и одного соединен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описания топологии сети, состоящей из двух узлов и одного соединения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5).</w:t>
      </w:r>
    </w:p>
    <w:p>
      <w:pPr>
        <w:pStyle w:val="CaptionedFigure"/>
      </w:pPr>
      <w:r>
        <w:drawing>
          <wp:inline>
            <wp:extent cx="3733800" cy="3868351"/>
            <wp:effectExtent b="0" l="0" r="0" t="0"/>
            <wp:docPr descr="Визуализация простой модели сети с помощью nam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Визуализация простой модели сети с помощью nam</w:t>
      </w:r>
    </w:p>
    <w:p>
      <w:pPr>
        <w:pStyle w:val="BodyText"/>
      </w:pP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</w:t>
      </w:r>
    </w:p>
    <w:bookmarkEnd w:id="38"/>
    <w:bookmarkStart w:id="51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моделируемой сети: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4 узлов (n0, n1, n2, n3);</w:t>
      </w:r>
    </w:p>
    <w:p>
      <w:pPr>
        <w:pStyle w:val="Compact"/>
        <w:numPr>
          <w:ilvl w:val="0"/>
          <w:numId w:val="1002"/>
        </w:numPr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pStyle w:val="Compact"/>
        <w:numPr>
          <w:ilvl w:val="0"/>
          <w:numId w:val="1002"/>
        </w:numPr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pStyle w:val="Compact"/>
        <w:numPr>
          <w:ilvl w:val="0"/>
          <w:numId w:val="1002"/>
        </w:numPr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pStyle w:val="Compact"/>
        <w:numPr>
          <w:ilvl w:val="0"/>
          <w:numId w:val="1002"/>
        </w:numPr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</w:p>
    <w:p>
      <w:pPr>
        <w:pStyle w:val="Compact"/>
        <w:numPr>
          <w:ilvl w:val="0"/>
          <w:numId w:val="1002"/>
        </w:numPr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pStyle w:val="Compact"/>
        <w:numPr>
          <w:ilvl w:val="0"/>
          <w:numId w:val="1002"/>
        </w:numPr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pStyle w:val="Compact"/>
        <w:numPr>
          <w:ilvl w:val="0"/>
          <w:numId w:val="1002"/>
        </w:numPr>
      </w:pPr>
      <w:r>
        <w:t xml:space="preserve">генераторы трафика ftp и cbr прикреплены к TCP и UDP агентам соответственно;</w:t>
      </w:r>
    </w:p>
    <w:p>
      <w:pPr>
        <w:pStyle w:val="Compact"/>
        <w:numPr>
          <w:ilvl w:val="0"/>
          <w:numId w:val="1002"/>
        </w:numPr>
      </w:pPr>
      <w:r>
        <w:t xml:space="preserve">генератор cbr генерирует пакеты размером 1 Кбайт со скоростью 1 Мбит/с;</w:t>
      </w:r>
    </w:p>
    <w:p>
      <w:pPr>
        <w:pStyle w:val="Compact"/>
        <w:numPr>
          <w:ilvl w:val="0"/>
          <w:numId w:val="1002"/>
        </w:numPr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 (рис. 6).</w:t>
      </w:r>
    </w:p>
    <w:p>
      <w:pPr>
        <w:pStyle w:val="CaptionedFigure"/>
      </w:pPr>
      <w:r>
        <w:drawing>
          <wp:inline>
            <wp:extent cx="3703704" cy="1475334"/>
            <wp:effectExtent b="0" l="0" r="0" t="0"/>
            <wp:docPr descr="Визуализация простой модели сети с помощью nam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Визуализация простой модели сети с помощью nam</w:t>
      </w:r>
    </w:p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7).</w:t>
      </w:r>
    </w:p>
    <w:p>
      <w:pPr>
        <w:pStyle w:val="CaptionedFigure"/>
      </w:pPr>
      <w:r>
        <w:drawing>
          <wp:inline>
            <wp:extent cx="3580759" cy="2658675"/>
            <wp:effectExtent b="0" l="0" r="0" t="0"/>
            <wp:docPr descr="Описание усложненной топологии сет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Описание усложненной топологии сети</w:t>
      </w:r>
    </w:p>
    <w:p>
      <w:pPr>
        <w:pStyle w:val="BodyText"/>
      </w:pP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 (рис. 8).</w:t>
      </w:r>
    </w:p>
    <w:p>
      <w:pPr>
        <w:pStyle w:val="CaptionedFigure"/>
      </w:pPr>
      <w:r>
        <w:drawing>
          <wp:inline>
            <wp:extent cx="3242662" cy="3135085"/>
            <wp:effectExtent b="0" l="0" r="0" t="0"/>
            <wp:docPr descr="Описание усложненной топологии сет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313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Описание усложненной топологии сети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9).</w:t>
      </w:r>
    </w:p>
    <w:p>
      <w:pPr>
        <w:pStyle w:val="CaptionedFigure"/>
      </w:pPr>
      <w:r>
        <w:drawing>
          <wp:inline>
            <wp:extent cx="3733800" cy="5419344"/>
            <wp:effectExtent b="0" l="0" r="0" t="0"/>
            <wp:docPr descr="Описание усложненной топологии сети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9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Описание усложненной топологии сети</w:t>
      </w:r>
    </w:p>
    <w:bookmarkEnd w:id="51"/>
    <w:bookmarkStart w:id="70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pStyle w:val="Compact"/>
        <w:numPr>
          <w:ilvl w:val="0"/>
          <w:numId w:val="1003"/>
        </w:numPr>
      </w:pPr>
      <w:r>
        <w:t xml:space="preserve">сеть состоит из 7 узлов, соединённых в кольцо;</w:t>
      </w:r>
    </w:p>
    <w:p>
      <w:pPr>
        <w:pStyle w:val="Compact"/>
        <w:numPr>
          <w:ilvl w:val="0"/>
          <w:numId w:val="1003"/>
        </w:numPr>
      </w:pPr>
      <w:r>
        <w:t xml:space="preserve">данные передаются от узла n(0) к узлу n(3) по кратчайшему пути;</w:t>
      </w:r>
    </w:p>
    <w:p>
      <w:pPr>
        <w:pStyle w:val="Compact"/>
        <w:numPr>
          <w:ilvl w:val="0"/>
          <w:numId w:val="1003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pStyle w:val="Compact"/>
        <w:numPr>
          <w:ilvl w:val="0"/>
          <w:numId w:val="1003"/>
        </w:numPr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</w:t>
      </w:r>
      <w:r>
        <w:t xml:space="preserve"> </w:t>
      </w:r>
      <w:r>
        <w:t xml:space="preserve">Опишем топологию моделируемой сети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 Далее соединим узлы так, чтобы создать круговую топологию. 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  <w:r>
        <w:t xml:space="preserve"> </w:t>
      </w:r>
      <w:r>
        <w:t xml:space="preserve">Зададим передачу данных от узла n(0) к узлу n(3). Данные передаются по кратчайшему маршруту от узла n(0) к узлу n(3), через узлы n(1) и n(2) (рис. 10).</w:t>
      </w:r>
      <w:r>
        <w:t xml:space="preserve"> </w:t>
      </w: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данных.</w:t>
      </w:r>
    </w:p>
    <w:p>
      <w:pPr>
        <w:pStyle w:val="CaptionedFigure"/>
      </w:pPr>
      <w:r>
        <w:drawing>
          <wp:inline>
            <wp:extent cx="3733800" cy="4315690"/>
            <wp:effectExtent b="0" l="0" r="0" t="0"/>
            <wp:docPr descr="Передача данных по кратчайшему пути сети с кольцевой топологией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Передача данных по кратчайшему пути сети с кольцевой топологией</w:t>
      </w:r>
    </w:p>
    <w:p>
      <w:pPr>
        <w:pStyle w:val="BodyText"/>
      </w:pPr>
      <w:r>
        <w:t xml:space="preserve">Передача данных при кольцевой топологии сети в случае разрыва соединения</w:t>
      </w:r>
      <w:r>
        <w:t xml:space="preserve"> </w:t>
      </w:r>
      <w:r>
        <w:t xml:space="preserve">представлена на рис. 11.</w:t>
      </w:r>
    </w:p>
    <w:p>
      <w:pPr>
        <w:pStyle w:val="CaptionedFigure"/>
      </w:pPr>
      <w:r>
        <w:drawing>
          <wp:inline>
            <wp:extent cx="3733800" cy="4281099"/>
            <wp:effectExtent b="0" l="0" r="0" t="0"/>
            <wp:docPr descr="Передача данных по сети с кольцевой топологией в случае разрыва соединения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Передача данных по сети с кольцевой топологией в случае разрыва соединения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rPr>
          <w:rStyle w:val="VerbatimChar"/>
        </w:rPr>
        <w:t xml:space="preserve">$ns rtproto DV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 (рис. 12).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n(4).</w:t>
      </w:r>
    </w:p>
    <w:p>
      <w:pPr>
        <w:pStyle w:val="CaptionedFigure"/>
      </w:pPr>
      <w:r>
        <w:drawing>
          <wp:inline>
            <wp:extent cx="3733800" cy="4175960"/>
            <wp:effectExtent b="0" l="0" r="0" t="0"/>
            <wp:docPr descr="Маршрутизация данных по сети с кольцевой топологией в случае разрыва соединения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Маршрутизация данных по сети с кольцевой топологией в случае разрыва соединения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pStyle w:val="Compact"/>
        <w:numPr>
          <w:ilvl w:val="0"/>
          <w:numId w:val="1004"/>
        </w:numPr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n(1)(13).</w:t>
      </w:r>
    </w:p>
    <w:p>
      <w:pPr>
        <w:pStyle w:val="CaptionedFigure"/>
      </w:pPr>
      <w:r>
        <w:drawing>
          <wp:inline>
            <wp:extent cx="3733800" cy="2937790"/>
            <wp:effectExtent b="0" l="0" r="0" t="0"/>
            <wp:docPr descr="Программа для упражнения по построению топологии сет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Программа для упражнения по построению топологии сети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(14).</w:t>
      </w:r>
    </w:p>
    <w:p>
      <w:pPr>
        <w:pStyle w:val="CaptionedFigure"/>
      </w:pPr>
      <w:r>
        <w:drawing>
          <wp:inline>
            <wp:extent cx="3733800" cy="3967162"/>
            <wp:effectExtent b="0" l="0" r="0" t="0"/>
            <wp:docPr descr="Передача данных по изменённой кольцевой топологии сет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Передача данных по изменённой кольцевой топологии сети</w:t>
      </w:r>
    </w:p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 (15).</w:t>
      </w:r>
    </w:p>
    <w:p>
      <w:pPr>
        <w:pStyle w:val="CaptionedFigure"/>
      </w:pPr>
      <w:r>
        <w:drawing>
          <wp:inline>
            <wp:extent cx="3733800" cy="3816543"/>
            <wp:effectExtent b="0" l="0" r="0" t="0"/>
            <wp:docPr descr="Передача данных по сети в случае разрыва соединения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Передача данных по сети в случае разрыва соединения</w:t>
      </w:r>
    </w:p>
    <w:p>
      <w:pPr>
        <w:pStyle w:val="BodyText"/>
      </w:pPr>
      <w:r>
        <w:t xml:space="preserve">После восстановления соединения пакеты снова идут по кратчайшему пути (</w:t>
      </w:r>
      <w:r>
        <w:rPr>
          <w:b/>
          <w:bCs/>
        </w:rPr>
        <w:t xml:space="preserve">¿fig:017?</w:t>
      </w:r>
      <w:r>
        <w:t xml:space="preserve">).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навыки моделирования сетей передачи данных с помощью средства имитационного моделирования NS-2, а также проанализировал полученные результаты моделирования.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Апареев Дмитрий Андреевич</dc:creator>
  <dc:language>ru-RU</dc:language>
  <cp:keywords/>
  <dcterms:created xsi:type="dcterms:W3CDTF">2025-02-15T20:34:54Z</dcterms:created>
  <dcterms:modified xsi:type="dcterms:W3CDTF">2025-02-15T20:34:54Z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Простые модели компьютерной сети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