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r>
        <w:drawing>
          <wp:inline>
            <wp:extent cx="3733800" cy="3208968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динамики размера окна TCP</w:t>
      </w:r>
    </w:p>
    <w:p>
      <w:pPr>
        <w:pStyle w:val="CaptionedFigure"/>
      </w:pPr>
      <w:r>
        <w:drawing>
          <wp:inline>
            <wp:extent cx="3733800" cy="3343471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0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График динамики размера окна TCP. Тип NewRen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динамики размера окна TCP. Тип NewReno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График динамики длины очереди и средней длины очереди. Тип NewReno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График динамики размера окна TCP. Тип Vega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окна TCP. Тип Vegas</w:t>
      </w:r>
    </w:p>
    <w:p>
      <w:pPr>
        <w:pStyle w:val="CaptionedFigure"/>
      </w:pPr>
      <w:r>
        <w:drawing>
          <wp:inline>
            <wp:extent cx="3733800" cy="3864048"/>
            <wp:effectExtent b="0" l="0" r="0" t="0"/>
            <wp:docPr descr="График динамики длины очереди и средней длины очереди. Тип Vega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0"/>
    <w:bookmarkStart w:id="47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p>
      <w:pPr>
        <w:pStyle w:val="CaptionedFigure"/>
      </w:pPr>
      <w:r>
        <w:drawing>
          <wp:inline>
            <wp:extent cx="3733800" cy="3757431"/>
            <wp:effectExtent b="0" l="0" r="0" t="0"/>
            <wp:docPr descr="График динамики размера окна TCP с изменением отображен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p>
      <w:pPr>
        <w:pStyle w:val="CaptionedFigure"/>
      </w:pPr>
      <w:r>
        <w:drawing>
          <wp:inline>
            <wp:extent cx="3733800" cy="3877648"/>
            <wp:effectExtent b="0" l="0" r="0" t="0"/>
            <wp:docPr descr="График динамики длины очереди и средней длины очереди с изменением отображе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Апареев Дмитрий Андреевич</dc:creator>
  <dc:language>ru-RU</dc:language>
  <cp:keywords/>
  <dcterms:created xsi:type="dcterms:W3CDTF">2025-02-22T19:45:00Z</dcterms:created>
  <dcterms:modified xsi:type="dcterms:W3CDTF">2025-02-22T19:45:00Z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