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 observations where no damage was registered and N=37033 where the damage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w:t>
      </w:r>
      <w:r w:rsidR="00091237" w:rsidRPr="00091237">
        <w:rPr>
          <w:rFonts w:eastAsia="Times New Roman" w:cstheme="minorHAnsi"/>
          <w:b/>
          <w:color w:val="000000"/>
          <w:sz w:val="28"/>
          <w:szCs w:val="28"/>
        </w:rPr>
        <w:t>part I</w:t>
      </w:r>
      <w:r w:rsidR="00091237">
        <w:rPr>
          <w:rFonts w:eastAsia="Times New Roman" w:cstheme="minorHAnsi"/>
          <w:color w:val="000000"/>
          <w:sz w:val="28"/>
          <w:szCs w:val="28"/>
        </w:rPr>
        <w:t>,</w:t>
      </w:r>
      <w:r w:rsidR="00263C94">
        <w:rPr>
          <w:rFonts w:eastAsia="Times New Roman" w:cstheme="minorHAnsi"/>
          <w:color w:val="000000"/>
          <w:sz w:val="28"/>
          <w:szCs w:val="28"/>
        </w:rPr>
        <w:t xml:space="preserv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w:t>
      </w:r>
      <w:r w:rsidRPr="00091237">
        <w:rPr>
          <w:rFonts w:eastAsia="Times New Roman" w:cstheme="minorHAnsi"/>
          <w:b/>
          <w:color w:val="000000"/>
          <w:sz w:val="28"/>
          <w:szCs w:val="28"/>
        </w:rPr>
        <w:t>part</w:t>
      </w:r>
      <w:r w:rsidR="00091237" w:rsidRPr="00091237">
        <w:rPr>
          <w:rFonts w:eastAsia="Times New Roman" w:cstheme="minorHAnsi"/>
          <w:b/>
          <w:color w:val="000000"/>
          <w:sz w:val="28"/>
          <w:szCs w:val="28"/>
        </w:rPr>
        <w:t xml:space="preserve"> II</w:t>
      </w:r>
      <w:r>
        <w:rPr>
          <w:rFonts w:eastAsia="Times New Roman" w:cstheme="minorHAnsi"/>
          <w:color w:val="000000"/>
          <w:sz w:val="28"/>
          <w:szCs w:val="28"/>
        </w:rPr>
        <w:t xml:space="preserve">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jc w:val="center"/>
        <w:tblLook w:val="04A0" w:firstRow="1" w:lastRow="0" w:firstColumn="1" w:lastColumn="0" w:noHBand="0" w:noVBand="1"/>
      </w:tblPr>
      <w:tblGrid>
        <w:gridCol w:w="700"/>
        <w:gridCol w:w="2720"/>
        <w:gridCol w:w="2700"/>
        <w:gridCol w:w="2348"/>
        <w:gridCol w:w="1576"/>
      </w:tblGrid>
      <w:tr w:rsidR="00091237" w:rsidTr="00C07383">
        <w:trPr>
          <w:jc w:val="center"/>
        </w:trPr>
        <w:tc>
          <w:tcPr>
            <w:tcW w:w="10044" w:type="dxa"/>
            <w:gridSpan w:val="5"/>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lastRenderedPageBreak/>
              <w:t>Table 1.</w:t>
            </w:r>
            <w:r w:rsidRPr="00C07383">
              <w:rPr>
                <w:rFonts w:eastAsia="Times New Roman" w:cstheme="minorHAnsi"/>
                <w:color w:val="000000"/>
                <w:sz w:val="28"/>
                <w:szCs w:val="28"/>
              </w:rPr>
              <w:t xml:space="preserve"> The division of the research in two parts.</w:t>
            </w:r>
          </w:p>
        </w:tc>
      </w:tr>
      <w:tr w:rsidR="00091237" w:rsidTr="00C07383">
        <w:trPr>
          <w:jc w:val="center"/>
        </w:trPr>
        <w:tc>
          <w:tcPr>
            <w:tcW w:w="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Part</w:t>
            </w:r>
          </w:p>
        </w:tc>
        <w:tc>
          <w:tcPr>
            <w:tcW w:w="272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48"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576"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explanatory variables can be found in the table 2.</w:t>
      </w:r>
      <w:r w:rsidR="00E87AE9">
        <w:rPr>
          <w:rFonts w:eastAsia="Times New Roman" w:cstheme="minorHAnsi"/>
          <w:color w:val="000000"/>
          <w:sz w:val="28"/>
          <w:szCs w:val="28"/>
        </w:rPr>
        <w:t xml:space="preserve"> The</w:t>
      </w:r>
      <w:r w:rsidR="0092493F">
        <w:rPr>
          <w:rFonts w:eastAsia="Times New Roman" w:cstheme="minorHAnsi"/>
          <w:color w:val="000000"/>
          <w:sz w:val="28"/>
          <w:szCs w:val="28"/>
        </w:rPr>
        <w:t xml:space="preserve"> event</w:t>
      </w:r>
      <w:r w:rsidR="00E87AE9">
        <w:rPr>
          <w:rFonts w:eastAsia="Times New Roman"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A climate region originally was not presented in the data set. However, I have found the map on the </w:t>
      </w:r>
      <w:hyperlink r:id="rId8" w:history="1">
        <w:r w:rsidRPr="001B54F6">
          <w:rPr>
            <w:rStyle w:val="a3"/>
            <w:rFonts w:eastAsia="Times New Roman" w:cstheme="minorHAnsi"/>
            <w:sz w:val="28"/>
            <w:szCs w:val="28"/>
          </w:rPr>
          <w:t>NOAA site</w:t>
        </w:r>
      </w:hyperlink>
      <w:r>
        <w:rPr>
          <w:rFonts w:eastAsia="Times New Roman"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jc w:val="center"/>
        <w:tblLook w:val="04A0" w:firstRow="1" w:lastRow="0" w:firstColumn="1" w:lastColumn="0" w:noHBand="0" w:noVBand="1"/>
      </w:tblPr>
      <w:tblGrid>
        <w:gridCol w:w="2250"/>
        <w:gridCol w:w="1643"/>
        <w:gridCol w:w="3492"/>
        <w:gridCol w:w="2849"/>
      </w:tblGrid>
      <w:tr w:rsidR="002B322B" w:rsidTr="00C07383">
        <w:trPr>
          <w:jc w:val="center"/>
        </w:trPr>
        <w:tc>
          <w:tcPr>
            <w:tcW w:w="10224" w:type="dxa"/>
            <w:gridSpan w:val="4"/>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t>Table 2.</w:t>
            </w:r>
            <w:r w:rsidRPr="00C07383">
              <w:rPr>
                <w:rFonts w:eastAsia="Times New Roman" w:cstheme="minorHAnsi"/>
                <w:color w:val="000000"/>
                <w:sz w:val="28"/>
                <w:szCs w:val="28"/>
              </w:rPr>
              <w:t xml:space="preserve"> The explanatory variables used in the analysis</w:t>
            </w:r>
          </w:p>
        </w:tc>
      </w:tr>
      <w:tr w:rsidR="002B322B" w:rsidTr="00C07383">
        <w:trPr>
          <w:jc w:val="center"/>
        </w:trPr>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 xml:space="preserve">The </w:t>
            </w:r>
            <w:r>
              <w:rPr>
                <w:rFonts w:eastAsia="Times New Roman" w:cstheme="minorHAnsi"/>
                <w:b/>
                <w:color w:val="000000"/>
                <w:sz w:val="28"/>
                <w:szCs w:val="28"/>
              </w:rPr>
              <w:t>variable name</w:t>
            </w:r>
          </w:p>
        </w:tc>
        <w:tc>
          <w:tcPr>
            <w:tcW w:w="1633"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The type of variable</w:t>
            </w:r>
          </w:p>
        </w:tc>
        <w:tc>
          <w:tcPr>
            <w:tcW w:w="3492"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Meaning</w:t>
            </w:r>
          </w:p>
        </w:tc>
        <w:tc>
          <w:tcPr>
            <w:tcW w:w="2849" w:type="dxa"/>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w:t>
            </w:r>
            <w:r w:rsidR="002B322B">
              <w:rPr>
                <w:rFonts w:eastAsia="Times New Roman"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lastRenderedPageBreak/>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themeColor="text1"/>
                <w:sz w:val="28"/>
                <w:szCs w:val="28"/>
              </w:rPr>
              <w:t xml:space="preserve">A </w:t>
            </w:r>
            <w:r w:rsidRPr="002B322B">
              <w:rPr>
                <w:rFonts w:eastAsia="Times New Roman" w:cstheme="minorHAnsi"/>
                <w:color w:val="000000" w:themeColor="text1"/>
                <w:sz w:val="28"/>
                <w:szCs w:val="28"/>
              </w:rPr>
              <w:t>climate region</w:t>
            </w:r>
            <w:r>
              <w:rPr>
                <w:rFonts w:eastAsia="Times New Roman"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Pr="002B322B">
              <w:rPr>
                <w:rFonts w:eastAsia="Times New Roman" w:cstheme="minorHAnsi"/>
                <w:color w:val="000000" w:themeColor="text1"/>
                <w:sz w:val="28"/>
                <w:szCs w:val="28"/>
              </w:rPr>
              <w:t>month</w:t>
            </w:r>
            <w:r w:rsidRPr="001B54F6">
              <w:rPr>
                <w:rFonts w:eastAsia="Times New Roman" w:cstheme="minorHAnsi"/>
                <w:color w:val="000000" w:themeColor="text1"/>
                <w:sz w:val="28"/>
                <w:szCs w:val="28"/>
              </w:rPr>
              <w:t xml:space="preserve"> when the event happened</w:t>
            </w:r>
            <w:r>
              <w:rPr>
                <w:rFonts w:eastAsia="Times New Roman"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r>
              <w:rPr>
                <w:rFonts w:eastAsia="Times New Roman"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w:t>
            </w:r>
            <w:r w:rsidRPr="002B322B">
              <w:rPr>
                <w:rFonts w:eastAsia="Times New Roman"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2B322B">
              <w:rPr>
                <w:rFonts w:eastAsia="Times New Roman"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2B322B">
              <w:rPr>
                <w:rFonts w:eastAsia="Times New Roman"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r w:rsidR="005E4C1A">
        <w:rPr>
          <w:rFonts w:eastAsia="Times New Roman" w:cstheme="minorHAnsi"/>
          <w:color w:val="000000"/>
          <w:sz w:val="28"/>
          <w:szCs w:val="28"/>
        </w:rPr>
        <w:t xml:space="preserve"> </w:t>
      </w: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For a bivariate test of the association of a </w:t>
      </w:r>
      <w:r w:rsidR="005E4C1A">
        <w:rPr>
          <w:rFonts w:eastAsia="Times New Roman" w:cstheme="minorHAnsi"/>
          <w:color w:val="000000"/>
          <w:sz w:val="28"/>
          <w:szCs w:val="28"/>
        </w:rPr>
        <w:t>climate</w:t>
      </w:r>
      <w:r w:rsidR="00575353" w:rsidRPr="00575353">
        <w:rPr>
          <w:rFonts w:eastAsia="Times New Roman" w:cstheme="minorHAnsi"/>
          <w:color w:val="000000"/>
          <w:sz w:val="28"/>
          <w:szCs w:val="28"/>
        </w:rPr>
        <w:t xml:space="preserve"> region</w:t>
      </w:r>
      <w:r w:rsidR="005E4C1A">
        <w:rPr>
          <w:rFonts w:eastAsia="Times New Roman" w:cstheme="minorHAnsi"/>
          <w:color w:val="000000"/>
          <w:sz w:val="28"/>
          <w:szCs w:val="28"/>
        </w:rPr>
        <w:t xml:space="preserve"> and </w:t>
      </w:r>
      <w:r w:rsidR="0092493F">
        <w:rPr>
          <w:rFonts w:eastAsia="Times New Roman" w:cstheme="minorHAnsi"/>
          <w:color w:val="000000"/>
          <w:sz w:val="28"/>
          <w:szCs w:val="28"/>
        </w:rPr>
        <w:t>the event type designator</w:t>
      </w:r>
      <w:r w:rsidR="00575353" w:rsidRPr="00575353">
        <w:rPr>
          <w:rFonts w:eastAsia="Times New Roman" w:cstheme="minorHAnsi"/>
          <w:color w:val="000000"/>
          <w:sz w:val="28"/>
          <w:szCs w:val="28"/>
        </w:rPr>
        <w:t xml:space="preserve">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5E4C1A">
        <w:rPr>
          <w:rFonts w:eastAsia="Times New Roman" w:cstheme="minorHAnsi"/>
          <w:color w:val="000000"/>
          <w:sz w:val="28"/>
          <w:szCs w:val="28"/>
        </w:rPr>
        <w:t xml:space="preserve"> Because a climate region</w:t>
      </w:r>
      <w:r w:rsidR="00270411">
        <w:rPr>
          <w:rFonts w:eastAsia="Times New Roman" w:cstheme="minorHAnsi"/>
          <w:color w:val="000000"/>
          <w:sz w:val="28"/>
          <w:szCs w:val="28"/>
        </w:rPr>
        <w:t xml:space="preserve"> and</w:t>
      </w:r>
      <w:r w:rsidR="005E4C1A">
        <w:rPr>
          <w:rFonts w:eastAsia="Times New Roman" w:cstheme="minorHAnsi"/>
          <w:color w:val="000000"/>
          <w:sz w:val="28"/>
          <w:szCs w:val="28"/>
        </w:rPr>
        <w:t xml:space="preserve"> </w:t>
      </w:r>
      <w:r w:rsidR="00270411">
        <w:rPr>
          <w:rFonts w:eastAsia="Times New Roman" w:cstheme="minorHAnsi"/>
          <w:color w:val="000000"/>
          <w:sz w:val="28"/>
          <w:szCs w:val="28"/>
        </w:rPr>
        <w:t>month were</w:t>
      </w:r>
      <w:r w:rsidR="005E4C1A">
        <w:rPr>
          <w:rFonts w:eastAsia="Times New Roman" w:cstheme="minorHAnsi"/>
          <w:color w:val="000000"/>
          <w:sz w:val="28"/>
          <w:szCs w:val="28"/>
        </w:rPr>
        <w:t xml:space="preserve"> variable</w:t>
      </w:r>
      <w:r w:rsidR="00270411">
        <w:rPr>
          <w:rFonts w:eastAsia="Times New Roman" w:cstheme="minorHAnsi"/>
          <w:color w:val="000000"/>
          <w:sz w:val="28"/>
          <w:szCs w:val="28"/>
        </w:rPr>
        <w:t>s</w:t>
      </w:r>
      <w:r w:rsidR="005E4C1A">
        <w:rPr>
          <w:rFonts w:eastAsia="Times New Roman"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perform deeper analysis</w:t>
      </w:r>
      <w:r w:rsidR="002B322B">
        <w:rPr>
          <w:rFonts w:eastAsia="Times New Roman" w:cstheme="minorHAnsi"/>
          <w:color w:val="000000"/>
          <w:sz w:val="28"/>
          <w:szCs w:val="28"/>
        </w:rPr>
        <w:t xml:space="preserve"> (regression and machine learning approaches) more explanatory variables were used (Table 2)</w:t>
      </w:r>
      <w:r w:rsidR="00AD0532">
        <w:rPr>
          <w:rFonts w:eastAsia="Times New Roman"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E4C1A">
        <w:rPr>
          <w:rFonts w:eastAsia="Times New Roman" w:cstheme="minorHAnsi"/>
          <w:color w:val="000000"/>
          <w:sz w:val="28"/>
          <w:szCs w:val="28"/>
        </w:rPr>
        <w:t>With</w:t>
      </w:r>
      <w:r>
        <w:rPr>
          <w:rFonts w:eastAsia="Times New Roman" w:cstheme="minorHAnsi"/>
          <w:color w:val="000000"/>
          <w:sz w:val="28"/>
          <w:szCs w:val="28"/>
        </w:rPr>
        <w:t xml:space="preserve">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sidR="005E4C1A" w:rsidRPr="005E4C1A">
        <w:rPr>
          <w:rFonts w:eastAsia="Times New Roman" w:cstheme="minorHAnsi"/>
          <w:color w:val="000000"/>
          <w:sz w:val="28"/>
          <w:szCs w:val="28"/>
        </w:rPr>
        <w:t xml:space="preserve"> </w:t>
      </w:r>
      <w:r>
        <w:rPr>
          <w:rFonts w:eastAsia="Times New Roman" w:cstheme="minorHAnsi"/>
          <w:color w:val="000000"/>
          <w:sz w:val="28"/>
          <w:szCs w:val="28"/>
        </w:rPr>
        <w:t xml:space="preserve"> All observations with unknown or missing data related to putative predictors were excluded from the sample.</w:t>
      </w:r>
      <w:r w:rsidR="0092493F">
        <w:rPr>
          <w:rFonts w:eastAsia="Times New Roman" w:cstheme="minorHAnsi"/>
          <w:color w:val="000000"/>
          <w:sz w:val="28"/>
          <w:szCs w:val="28"/>
        </w:rPr>
        <w:t xml:space="preserve"> </w:t>
      </w:r>
      <w:r>
        <w:rPr>
          <w:rFonts w:eastAsia="Times New Roman" w:cstheme="minorHAnsi"/>
          <w:color w:val="000000"/>
          <w:sz w:val="28"/>
          <w:szCs w:val="28"/>
        </w:rPr>
        <w:t xml:space="preserve">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r w:rsidR="0092493F">
        <w:rPr>
          <w:rFonts w:eastAsia="Times New Roman"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D41028">
        <w:rPr>
          <w:rFonts w:eastAsia="Times New Roman" w:cstheme="minorHAnsi"/>
          <w:color w:val="000000"/>
          <w:sz w:val="28"/>
          <w:szCs w:val="28"/>
        </w:rPr>
        <w:t>As mentioned above</w:t>
      </w:r>
      <w:r w:rsidR="00091237">
        <w:rPr>
          <w:rFonts w:eastAsia="Times New Roman" w:cstheme="minorHAnsi"/>
          <w:color w:val="000000"/>
          <w:sz w:val="28"/>
          <w:szCs w:val="28"/>
        </w:rPr>
        <w:t xml:space="preserve"> (table 1)</w:t>
      </w:r>
      <w:r w:rsidR="00EF7727">
        <w:rPr>
          <w:rFonts w:eastAsia="Times New Roman" w:cstheme="minorHAnsi"/>
          <w:color w:val="000000"/>
          <w:sz w:val="28"/>
          <w:szCs w:val="28"/>
        </w:rPr>
        <w:t>,</w:t>
      </w:r>
      <w:r w:rsidR="00D41028">
        <w:rPr>
          <w:rFonts w:eastAsia="Times New Roman" w:cstheme="minorHAnsi"/>
          <w:color w:val="000000"/>
          <w:sz w:val="28"/>
          <w:szCs w:val="28"/>
        </w:rPr>
        <w:t xml:space="preserve"> </w:t>
      </w:r>
      <w:r w:rsidR="0092493F">
        <w:rPr>
          <w:rFonts w:eastAsia="Times New Roman" w:cstheme="minorHAnsi"/>
          <w:color w:val="000000"/>
          <w:sz w:val="28"/>
          <w:szCs w:val="28"/>
        </w:rPr>
        <w:t>for the both parts of the research the</w:t>
      </w:r>
      <w:r w:rsidR="00EF7727">
        <w:rPr>
          <w:rFonts w:eastAsia="Times New Roman" w:cstheme="minorHAnsi"/>
          <w:color w:val="000000"/>
          <w:sz w:val="28"/>
          <w:szCs w:val="28"/>
        </w:rPr>
        <w:t xml:space="preserve"> set of</w:t>
      </w:r>
      <w:r w:rsidR="0092493F">
        <w:rPr>
          <w:rFonts w:eastAsia="Times New Roman" w:cstheme="minorHAnsi"/>
          <w:color w:val="000000"/>
          <w:sz w:val="28"/>
          <w:szCs w:val="28"/>
        </w:rPr>
        <w:t xml:space="preserve"> explanatory categories </w:t>
      </w:r>
      <w:r w:rsidR="00EF7727">
        <w:rPr>
          <w:rFonts w:eastAsia="Times New Roman" w:cstheme="minorHAnsi"/>
          <w:color w:val="000000"/>
          <w:sz w:val="28"/>
          <w:szCs w:val="28"/>
        </w:rPr>
        <w:t xml:space="preserve">is </w:t>
      </w:r>
      <w:r w:rsidR="0092493F">
        <w:rPr>
          <w:rFonts w:eastAsia="Times New Roman" w:cstheme="minorHAnsi"/>
          <w:color w:val="000000"/>
          <w:sz w:val="28"/>
          <w:szCs w:val="28"/>
        </w:rPr>
        <w:t>the same</w:t>
      </w:r>
      <w:r w:rsidR="00EF7727">
        <w:rPr>
          <w:rFonts w:eastAsia="Times New Roman"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091237">
        <w:rPr>
          <w:rFonts w:eastAsia="Times New Roman" w:cstheme="minorHAnsi"/>
          <w:color w:val="000000"/>
          <w:sz w:val="28"/>
          <w:szCs w:val="28"/>
        </w:rPr>
        <w:t xml:space="preserve">All quantitative variables presented in the table 3. Because in the </w:t>
      </w:r>
      <w:r w:rsidR="00091237">
        <w:rPr>
          <w:rFonts w:eastAsia="Times New Roman" w:cstheme="minorHAnsi"/>
          <w:b/>
          <w:color w:val="000000"/>
          <w:sz w:val="28"/>
          <w:szCs w:val="28"/>
        </w:rPr>
        <w:t xml:space="preserve">part I </w:t>
      </w:r>
      <w:r w:rsidR="00091237">
        <w:rPr>
          <w:rFonts w:eastAsia="Times New Roman" w:cstheme="minorHAnsi"/>
          <w:color w:val="000000"/>
          <w:sz w:val="28"/>
          <w:szCs w:val="28"/>
        </w:rPr>
        <w:t xml:space="preserve">the response variable is categorical, the only one quantitative variable is the event duration. In the </w:t>
      </w:r>
      <w:r w:rsidR="00091237" w:rsidRPr="00091237">
        <w:rPr>
          <w:rFonts w:eastAsia="Times New Roman" w:cstheme="minorHAnsi"/>
          <w:b/>
          <w:color w:val="000000"/>
          <w:sz w:val="28"/>
          <w:szCs w:val="28"/>
        </w:rPr>
        <w:t>part II</w:t>
      </w:r>
      <w:r w:rsidR="00091237" w:rsidRPr="00091237">
        <w:rPr>
          <w:rFonts w:eastAsia="Times New Roman" w:cstheme="minorHAnsi"/>
          <w:color w:val="000000"/>
          <w:sz w:val="28"/>
          <w:szCs w:val="28"/>
        </w:rPr>
        <w:t>,</w:t>
      </w:r>
      <w:r w:rsidR="00091237">
        <w:rPr>
          <w:rFonts w:eastAsia="Times New Roman"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Look w:val="04A0" w:firstRow="1" w:lastRow="0" w:firstColumn="1" w:lastColumn="0" w:noHBand="0" w:noVBand="1"/>
      </w:tblPr>
      <w:tblGrid>
        <w:gridCol w:w="1561"/>
        <w:gridCol w:w="1313"/>
        <w:gridCol w:w="926"/>
        <w:gridCol w:w="1505"/>
        <w:gridCol w:w="1350"/>
        <w:gridCol w:w="1440"/>
        <w:gridCol w:w="1584"/>
      </w:tblGrid>
      <w:tr w:rsidR="00005BAA" w:rsidTr="00720293">
        <w:tc>
          <w:tcPr>
            <w:tcW w:w="9679" w:type="dxa"/>
            <w:gridSpan w:val="7"/>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3.</w:t>
            </w:r>
            <w:r w:rsidRPr="00C07383">
              <w:rPr>
                <w:rFonts w:eastAsia="Times New Roman" w:cstheme="minorHAnsi"/>
                <w:color w:val="000000"/>
                <w:sz w:val="28"/>
                <w:szCs w:val="28"/>
              </w:rPr>
              <w:t xml:space="preserve"> The quantitative variables used in the research.</w:t>
            </w:r>
          </w:p>
        </w:tc>
      </w:tr>
      <w:tr w:rsidR="00005BAA" w:rsidTr="00005BAA">
        <w:tc>
          <w:tcPr>
            <w:tcW w:w="1561" w:type="dxa"/>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Research part</w:t>
            </w:r>
          </w:p>
        </w:tc>
        <w:tc>
          <w:tcPr>
            <w:tcW w:w="926"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505"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Mean</w:t>
            </w:r>
          </w:p>
        </w:tc>
        <w:tc>
          <w:tcPr>
            <w:tcW w:w="135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Std Dev</w:t>
            </w:r>
          </w:p>
        </w:tc>
        <w:tc>
          <w:tcPr>
            <w:tcW w:w="144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Min</w:t>
            </w:r>
          </w:p>
        </w:tc>
        <w:tc>
          <w:tcPr>
            <w:tcW w:w="1584"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Max</w:t>
            </w:r>
          </w:p>
        </w:tc>
      </w:tr>
      <w:tr w:rsidR="00005BAA" w:rsidTr="00005BAA">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w:t>
            </w:r>
            <w:r>
              <w:rPr>
                <w:rFonts w:eastAsia="Times New Roman" w:cstheme="minorHAnsi"/>
                <w:color w:val="000000"/>
                <w:sz w:val="28"/>
                <w:szCs w:val="28"/>
              </w:rPr>
              <w:t>1</w:t>
            </w:r>
            <w:r w:rsidRPr="00005BAA">
              <w:rPr>
                <w:rFonts w:eastAsia="Times New Roman"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9.301030</w:t>
            </w:r>
          </w:p>
        </w:tc>
      </w:tr>
    </w:tbl>
    <w:p w:rsidR="00091237" w:rsidRDefault="0009123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 </w:t>
      </w: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1.</w:t>
            </w:r>
            <w:r w:rsidRPr="00C07383">
              <w:rPr>
                <w:rFonts w:eastAsia="Times New Roman" w:cstheme="minorHAnsi"/>
                <w:color w:val="000000"/>
                <w:sz w:val="28"/>
                <w:szCs w:val="28"/>
              </w:rPr>
              <w:t xml:space="preserve">  Histograms of the event duration</w:t>
            </w:r>
            <w:r w:rsidR="006A7F70" w:rsidRPr="00C07383">
              <w:rPr>
                <w:rFonts w:eastAsia="Times New Roman" w:cstheme="minorHAnsi"/>
                <w:color w:val="000000"/>
                <w:sz w:val="28"/>
                <w:szCs w:val="28"/>
              </w:rPr>
              <w:t>(lg)</w:t>
            </w:r>
            <w:r w:rsidRPr="00C07383">
              <w:rPr>
                <w:rFonts w:eastAsia="Times New Roman"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tbl>
      <w:tblPr>
        <w:tblStyle w:val="a6"/>
        <w:tblW w:w="9900" w:type="dxa"/>
        <w:tblInd w:w="-95" w:type="dxa"/>
        <w:tblLayout w:type="fixed"/>
        <w:tblLook w:val="04A0" w:firstRow="1" w:lastRow="0" w:firstColumn="1" w:lastColumn="0" w:noHBand="0" w:noVBand="1"/>
      </w:tblPr>
      <w:tblGrid>
        <w:gridCol w:w="1980"/>
        <w:gridCol w:w="720"/>
        <w:gridCol w:w="1260"/>
        <w:gridCol w:w="1440"/>
        <w:gridCol w:w="1890"/>
        <w:gridCol w:w="2610"/>
      </w:tblGrid>
      <w:tr w:rsidR="00C07383" w:rsidTr="009E3254">
        <w:tc>
          <w:tcPr>
            <w:tcW w:w="9900" w:type="dxa"/>
            <w:gridSpan w:val="6"/>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4</w:t>
            </w:r>
            <w:r w:rsidRPr="00C07383">
              <w:rPr>
                <w:rFonts w:eastAsia="Times New Roman" w:cstheme="minorHAnsi"/>
                <w:color w:val="000000"/>
                <w:sz w:val="28"/>
                <w:szCs w:val="28"/>
              </w:rPr>
              <w:t>. The categorical variables used in the research.</w:t>
            </w:r>
          </w:p>
        </w:tc>
      </w:tr>
      <w:tr w:rsidR="00C07383" w:rsidTr="009E3254">
        <w:tc>
          <w:tcPr>
            <w:tcW w:w="198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72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Part</w:t>
            </w:r>
          </w:p>
        </w:tc>
        <w:tc>
          <w:tcPr>
            <w:tcW w:w="126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44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Unique categories</w:t>
            </w:r>
          </w:p>
        </w:tc>
        <w:tc>
          <w:tcPr>
            <w:tcW w:w="189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 category</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Frequency</w:t>
            </w:r>
          </w:p>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damaged</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126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0 (no damage)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101517</w:t>
            </w:r>
            <w:r>
              <w:rPr>
                <w:rFonts w:eastAsia="Times New Roman" w:cstheme="minorHAnsi"/>
                <w:color w:val="000000"/>
                <w:sz w:val="28"/>
                <w:szCs w:val="28"/>
              </w:rPr>
              <w:t xml:space="preserve"> / </w:t>
            </w:r>
            <w:r w:rsidRPr="00AE7433">
              <w:rPr>
                <w:rFonts w:eastAsia="Times New Roman" w:cstheme="minorHAnsi"/>
                <w:color w:val="000000"/>
                <w:sz w:val="28"/>
                <w:szCs w:val="28"/>
              </w:rPr>
              <w:t>73.27102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22800</w:t>
            </w:r>
            <w:r>
              <w:rPr>
                <w:rFonts w:eastAsia="Times New Roman" w:cstheme="minorHAnsi"/>
                <w:color w:val="000000"/>
                <w:sz w:val="28"/>
                <w:szCs w:val="28"/>
              </w:rPr>
              <w:t xml:space="preserve"> / </w:t>
            </w:r>
            <w:r w:rsidRPr="005138E7">
              <w:rPr>
                <w:rFonts w:eastAsia="Times New Roman" w:cstheme="minorHAnsi"/>
                <w:color w:val="000000"/>
                <w:sz w:val="28"/>
                <w:szCs w:val="28"/>
              </w:rPr>
              <w:t>16.456153</w:t>
            </w:r>
            <w:r>
              <w:rPr>
                <w:rFonts w:eastAsia="Times New Roman" w:cstheme="minorHAnsi"/>
                <w:color w:val="000000"/>
                <w:sz w:val="28"/>
                <w:szCs w:val="28"/>
              </w:rPr>
              <w:t xml:space="preserve">% </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South</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26774 / </w:t>
            </w:r>
            <w:r w:rsidRPr="00AE7433">
              <w:rPr>
                <w:rFonts w:eastAsia="Times New Roman" w:cstheme="minorHAnsi"/>
                <w:color w:val="000000"/>
                <w:sz w:val="28"/>
                <w:szCs w:val="28"/>
              </w:rPr>
              <w:t>19.324432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81709</w:t>
            </w:r>
            <w:r>
              <w:rPr>
                <w:rFonts w:eastAsia="Times New Roman" w:cstheme="minorHAnsi"/>
                <w:color w:val="000000"/>
                <w:sz w:val="28"/>
                <w:szCs w:val="28"/>
              </w:rPr>
              <w:t xml:space="preserve"> / </w:t>
            </w:r>
            <w:r w:rsidRPr="00AE7433">
              <w:rPr>
                <w:rFonts w:eastAsia="Times New Roman" w:cstheme="minorHAnsi"/>
                <w:color w:val="000000"/>
                <w:sz w:val="28"/>
                <w:szCs w:val="28"/>
              </w:rPr>
              <w:t>58.974377</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51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34138</w:t>
            </w:r>
            <w:r>
              <w:rPr>
                <w:rFonts w:eastAsia="Times New Roman" w:cstheme="minorHAnsi"/>
                <w:color w:val="000000"/>
                <w:sz w:val="28"/>
                <w:szCs w:val="28"/>
              </w:rPr>
              <w:t xml:space="preserve"> / </w:t>
            </w:r>
            <w:r w:rsidRPr="00AE7433">
              <w:rPr>
                <w:rFonts w:eastAsia="Times New Roman" w:cstheme="minorHAnsi"/>
                <w:color w:val="000000"/>
                <w:sz w:val="28"/>
                <w:szCs w:val="28"/>
              </w:rPr>
              <w:t>24.63948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8223</w:t>
            </w:r>
            <w:r>
              <w:rPr>
                <w:rFonts w:eastAsia="Times New Roman" w:cstheme="minorHAnsi"/>
                <w:color w:val="000000"/>
                <w:sz w:val="28"/>
                <w:szCs w:val="28"/>
              </w:rPr>
              <w:t xml:space="preserve"> / </w:t>
            </w:r>
            <w:r w:rsidRPr="003C5B53">
              <w:rPr>
                <w:rFonts w:eastAsia="Times New Roman" w:cstheme="minorHAnsi"/>
                <w:color w:val="000000"/>
                <w:sz w:val="28"/>
                <w:szCs w:val="28"/>
              </w:rPr>
              <w:t>22.204520</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Central</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3C5B53">
              <w:rPr>
                <w:rFonts w:eastAsia="Times New Roman" w:cstheme="minorHAnsi"/>
                <w:color w:val="000000"/>
                <w:sz w:val="28"/>
                <w:szCs w:val="28"/>
              </w:rPr>
              <w:t>8351</w:t>
            </w:r>
            <w:r>
              <w:rPr>
                <w:rFonts w:eastAsia="Times New Roman" w:cstheme="minorHAnsi"/>
                <w:color w:val="000000"/>
                <w:sz w:val="28"/>
                <w:szCs w:val="28"/>
              </w:rPr>
              <w:t xml:space="preserve"> / </w:t>
            </w:r>
            <w:r w:rsidRPr="003C5B53">
              <w:rPr>
                <w:rFonts w:eastAsia="Times New Roman" w:cstheme="minorHAnsi"/>
                <w:color w:val="000000"/>
                <w:sz w:val="28"/>
                <w:szCs w:val="28"/>
              </w:rPr>
              <w:t>22.550158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31585</w:t>
            </w:r>
            <w:r>
              <w:rPr>
                <w:rFonts w:eastAsia="Times New Roman" w:cstheme="minorHAnsi"/>
                <w:color w:val="000000"/>
                <w:sz w:val="28"/>
                <w:szCs w:val="28"/>
              </w:rPr>
              <w:t xml:space="preserve"> / </w:t>
            </w:r>
            <w:r w:rsidRPr="003C5B53">
              <w:rPr>
                <w:rFonts w:eastAsia="Times New Roman" w:cstheme="minorHAnsi"/>
                <w:color w:val="000000"/>
                <w:sz w:val="28"/>
                <w:szCs w:val="28"/>
              </w:rPr>
              <w:t>85.288796</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44</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19659</w:t>
            </w:r>
            <w:r>
              <w:rPr>
                <w:rFonts w:eastAsia="Times New Roman" w:cstheme="minorHAnsi"/>
                <w:color w:val="000000"/>
                <w:sz w:val="28"/>
                <w:szCs w:val="28"/>
              </w:rPr>
              <w:t xml:space="preserve"> / </w:t>
            </w:r>
            <w:r w:rsidRPr="003C5B53">
              <w:rPr>
                <w:rFonts w:eastAsia="Times New Roman" w:cstheme="minorHAnsi"/>
                <w:color w:val="000000"/>
                <w:sz w:val="28"/>
                <w:szCs w:val="28"/>
              </w:rPr>
              <w:t>53.085086</w:t>
            </w:r>
            <w:r>
              <w:rPr>
                <w:rFonts w:eastAsia="Times New Roman" w:cstheme="minorHAnsi"/>
                <w:color w:val="000000"/>
                <w:sz w:val="28"/>
                <w:szCs w:val="28"/>
              </w:rPr>
              <w:t>%</w:t>
            </w:r>
          </w:p>
        </w:tc>
      </w:tr>
    </w:tbl>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6A7F70">
        <w:rPr>
          <w:rFonts w:eastAsia="Times New Roman" w:cstheme="minorHAnsi"/>
          <w:color w:val="000000"/>
          <w:sz w:val="28"/>
          <w:szCs w:val="28"/>
        </w:rPr>
        <w:t>As we can see the numbers of value in the event duration are different from the sample volumes, because some of them are missing or unknow</w:t>
      </w:r>
      <w:r w:rsidR="00380CCA">
        <w:rPr>
          <w:rFonts w:eastAsia="Times New Roman" w:cstheme="minorHAnsi"/>
          <w:color w:val="000000"/>
          <w:sz w:val="28"/>
          <w:szCs w:val="28"/>
        </w:rPr>
        <w:t>n</w:t>
      </w:r>
      <w:r w:rsidR="006A7F70">
        <w:rPr>
          <w:rFonts w:eastAsia="Times New Roman" w:cstheme="minorHAnsi"/>
          <w:color w:val="000000"/>
          <w:sz w:val="28"/>
          <w:szCs w:val="28"/>
        </w:rPr>
        <w:t>. After ruling out the observations with zero damage we can see decreasing of the mean</w:t>
      </w:r>
      <w:r w:rsidR="008025F5">
        <w:rPr>
          <w:rFonts w:eastAsia="Times New Roman" w:cstheme="minorHAnsi"/>
          <w:color w:val="000000"/>
          <w:sz w:val="28"/>
          <w:szCs w:val="28"/>
        </w:rPr>
        <w:t>.</w:t>
      </w:r>
      <w:r w:rsidR="006A7F70">
        <w:rPr>
          <w:rFonts w:eastAsia="Times New Roman" w:cstheme="minorHAnsi"/>
          <w:color w:val="000000"/>
          <w:sz w:val="28"/>
          <w:szCs w:val="28"/>
        </w:rPr>
        <w:t xml:space="preserve"> The distribution related to the part I (Figure 1, top) is symmetrical, but not unimodal. </w:t>
      </w:r>
      <w:r w:rsidR="008025F5">
        <w:rPr>
          <w:rFonts w:eastAsia="Times New Roman" w:cstheme="minorHAnsi"/>
          <w:color w:val="000000"/>
          <w:sz w:val="28"/>
          <w:szCs w:val="28"/>
        </w:rPr>
        <w:t xml:space="preserve">A different picture can be observed </w:t>
      </w:r>
      <w:r w:rsidR="00706F6E">
        <w:rPr>
          <w:rFonts w:eastAsia="Times New Roman" w:cstheme="minorHAnsi"/>
          <w:color w:val="000000"/>
          <w:sz w:val="28"/>
          <w:szCs w:val="28"/>
        </w:rPr>
        <w:t>the</w:t>
      </w:r>
      <w:r w:rsidR="006A7F70">
        <w:rPr>
          <w:rFonts w:eastAsia="Times New Roman" w:cstheme="minorHAnsi"/>
          <w:color w:val="000000"/>
          <w:sz w:val="28"/>
          <w:szCs w:val="28"/>
        </w:rPr>
        <w:t xml:space="preserve"> one from the </w:t>
      </w:r>
      <w:r w:rsidR="006A7F70">
        <w:rPr>
          <w:rFonts w:eastAsia="Times New Roman" w:cstheme="minorHAnsi"/>
          <w:color w:val="000000"/>
          <w:sz w:val="28"/>
          <w:szCs w:val="28"/>
        </w:rPr>
        <w:lastRenderedPageBreak/>
        <w:t>part II (Figure 1, bottom) is positively skewed and probably has two modes. Anyway, logarithm has significantly decreased positive skewness.</w:t>
      </w:r>
      <w:r w:rsidR="00493A94">
        <w:rPr>
          <w:rFonts w:eastAsia="Times New Roman" w:cstheme="minorHAnsi"/>
          <w:color w:val="000000"/>
          <w:sz w:val="28"/>
          <w:szCs w:val="28"/>
        </w:rPr>
        <w:t xml:space="preserve"> As for property damage, even from the table, it is easy 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Categorical </w:t>
      </w:r>
      <w:r w:rsidR="006A7F70">
        <w:rPr>
          <w:rFonts w:eastAsia="Times New Roman"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eastAsia="Times New Roman" w:cstheme="minorHAnsi"/>
          <w:color w:val="000000"/>
          <w:sz w:val="28"/>
          <w:szCs w:val="28"/>
        </w:rPr>
        <w:t xml:space="preserve"> it can be seen</w:t>
      </w:r>
      <w:r w:rsidR="000A4CA9">
        <w:rPr>
          <w:rFonts w:eastAsia="Times New Roman"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sidR="00D0021E">
        <w:rPr>
          <w:rFonts w:eastAsia="Times New Roman" w:cstheme="minorHAnsi"/>
          <w:color w:val="000000"/>
          <w:sz w:val="28"/>
          <w:szCs w:val="28"/>
        </w:rPr>
        <w:t>Because all explanatory variables chosen for bivariate analysis are categorical (Table 1)</w:t>
      </w:r>
      <w:r w:rsidR="00270411">
        <w:rPr>
          <w:rFonts w:eastAsia="Times New Roman" w:cstheme="minorHAnsi"/>
          <w:color w:val="000000"/>
          <w:sz w:val="28"/>
          <w:szCs w:val="28"/>
        </w:rPr>
        <w:t>,</w:t>
      </w:r>
      <w:r w:rsidR="00D0021E">
        <w:rPr>
          <w:rFonts w:eastAsia="Times New Roman" w:cstheme="minorHAnsi"/>
          <w:color w:val="000000"/>
          <w:sz w:val="28"/>
          <w:szCs w:val="28"/>
        </w:rPr>
        <w:t xml:space="preserve"> only bar charts were built. All the bar chats from both part of the research </w:t>
      </w:r>
      <w:r w:rsidR="00706F6E">
        <w:rPr>
          <w:rFonts w:eastAsia="Times New Roman" w:cstheme="minorHAnsi"/>
          <w:color w:val="000000"/>
          <w:sz w:val="28"/>
          <w:szCs w:val="28"/>
        </w:rPr>
        <w:t>was</w:t>
      </w:r>
      <w:r w:rsidR="00D0021E">
        <w:rPr>
          <w:rFonts w:eastAsia="Times New Roman" w:cstheme="minorHAnsi"/>
          <w:color w:val="000000"/>
          <w:sz w:val="28"/>
          <w:szCs w:val="28"/>
        </w:rPr>
        <w:t xml:space="preserve"> examined parallelly in order to see the whole picture.</w:t>
      </w:r>
    </w:p>
    <w:tbl>
      <w:tblPr>
        <w:tblStyle w:val="a6"/>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9E3254">
        <w:trPr>
          <w:jc w:val="center"/>
        </w:trPr>
        <w:tc>
          <w:tcPr>
            <w:tcW w:w="11880" w:type="dxa"/>
            <w:gridSpan w:val="2"/>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t xml:space="preserve"> </w:t>
            </w:r>
            <w:r>
              <w:rPr>
                <w:rFonts w:eastAsia="Times New Roman"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9E3254">
        <w:trPr>
          <w:jc w:val="center"/>
        </w:trPr>
        <w:tc>
          <w:tcPr>
            <w:tcW w:w="603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Chi-square value: 5113.28; p-value: 0.0</w:t>
            </w:r>
          </w:p>
        </w:tc>
        <w:tc>
          <w:tcPr>
            <w:tcW w:w="584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F-statistic: 31.64; p-value: 1.36e-67</w:t>
            </w:r>
          </w:p>
        </w:tc>
      </w:tr>
      <w:tr w:rsidR="00C07383" w:rsidTr="009E3254">
        <w:trPr>
          <w:jc w:val="center"/>
        </w:trPr>
        <w:tc>
          <w:tcPr>
            <w:tcW w:w="11880" w:type="dxa"/>
            <w:gridSpan w:val="2"/>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2</w:t>
            </w:r>
            <w:r w:rsidRPr="00C07383">
              <w:rPr>
                <w:rFonts w:eastAsia="Times New Roman"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On the figure 2 we can see the bar charts showing </w:t>
      </w:r>
      <w:r w:rsidR="00706F6E">
        <w:rPr>
          <w:rFonts w:eastAsia="Times New Roman" w:cstheme="minorHAnsi"/>
          <w:color w:val="000000"/>
          <w:sz w:val="28"/>
          <w:szCs w:val="28"/>
        </w:rPr>
        <w:t xml:space="preserve">the association between property damage and </w:t>
      </w:r>
      <w:r w:rsidR="005C6FCC">
        <w:rPr>
          <w:rFonts w:eastAsia="Times New Roman" w:cstheme="minorHAnsi"/>
          <w:color w:val="000000"/>
          <w:sz w:val="28"/>
          <w:szCs w:val="28"/>
        </w:rPr>
        <w:t>month when it happened.</w:t>
      </w:r>
      <w:r w:rsidR="00AA20CA">
        <w:rPr>
          <w:rFonts w:eastAsia="Times New Roman" w:cstheme="minorHAnsi"/>
          <w:color w:val="000000"/>
          <w:sz w:val="28"/>
          <w:szCs w:val="28"/>
        </w:rPr>
        <w:t xml:space="preserve"> In both cases p-values are very low, so we can say that there </w:t>
      </w:r>
      <w:proofErr w:type="gramStart"/>
      <w:r w:rsidR="00AA20CA">
        <w:rPr>
          <w:rFonts w:eastAsia="Times New Roman" w:cstheme="minorHAnsi"/>
          <w:color w:val="000000"/>
          <w:sz w:val="28"/>
          <w:szCs w:val="28"/>
        </w:rPr>
        <w:t>are</w:t>
      </w:r>
      <w:proofErr w:type="gramEnd"/>
      <w:r w:rsidR="00AA20CA">
        <w:rPr>
          <w:rFonts w:eastAsia="Times New Roman" w:cstheme="minorHAnsi"/>
          <w:color w:val="000000"/>
          <w:sz w:val="28"/>
          <w:szCs w:val="28"/>
        </w:rPr>
        <w:t xml:space="preserve"> some difference between the groups.</w:t>
      </w:r>
      <w:r w:rsidR="005C6FCC">
        <w:rPr>
          <w:rFonts w:eastAsia="Times New Roman" w:cstheme="minorHAnsi"/>
          <w:color w:val="000000"/>
          <w:sz w:val="28"/>
          <w:szCs w:val="28"/>
        </w:rPr>
        <w:t xml:space="preserve"> From this graph we can see three different groups of months. First group, if from December to March inclusively, when property damaged with relatively low frequency. The second group contain June and July when frequency of property damage is significantly higher than in the other months. The last group includes April, May and months from August to November. So, we can see seasonal changes in the frequency of damaged property. </w:t>
      </w:r>
      <w:r w:rsidR="00720293">
        <w:rPr>
          <w:rFonts w:eastAsia="Times New Roman" w:cstheme="minorHAnsi"/>
          <w:color w:val="000000"/>
          <w:sz w:val="28"/>
          <w:szCs w:val="28"/>
        </w:rPr>
        <w:t>Post-hoc tests (not shown) 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97"/>
        <w:gridCol w:w="897"/>
        <w:gridCol w:w="897"/>
        <w:gridCol w:w="897"/>
        <w:gridCol w:w="896"/>
        <w:gridCol w:w="896"/>
        <w:gridCol w:w="896"/>
        <w:gridCol w:w="896"/>
        <w:gridCol w:w="896"/>
        <w:gridCol w:w="896"/>
        <w:gridCol w:w="852"/>
        <w:gridCol w:w="838"/>
      </w:tblGrid>
      <w:tr w:rsidR="00943CAB" w:rsidRPr="00720293" w:rsidTr="00943CAB">
        <w:trPr>
          <w:trHeight w:val="290"/>
          <w:jc w:val="center"/>
        </w:trPr>
        <w:tc>
          <w:tcPr>
            <w:tcW w:w="5000" w:type="pct"/>
            <w:gridSpan w:val="13"/>
            <w:shd w:val="clear" w:color="auto" w:fill="auto"/>
            <w:noWrap/>
            <w:vAlign w:val="bottom"/>
          </w:tcPr>
          <w:p w:rsidR="00943CAB" w:rsidRDefault="00943CAB" w:rsidP="00943CAB">
            <w:pPr>
              <w:spacing w:after="0" w:line="240" w:lineRule="auto"/>
              <w:rPr>
                <w:rFonts w:eastAsia="Times New Roman" w:cstheme="minorHAnsi"/>
                <w:color w:val="000000"/>
                <w:sz w:val="28"/>
              </w:rPr>
            </w:pPr>
            <w:r w:rsidRPr="00C07383">
              <w:rPr>
                <w:rFonts w:eastAsia="Times New Roman" w:cstheme="minorHAnsi"/>
                <w:color w:val="000000"/>
                <w:sz w:val="28"/>
                <w:u w:val="single"/>
              </w:rPr>
              <w:t>Table 5.</w:t>
            </w:r>
            <w:r>
              <w:rPr>
                <w:rFonts w:eastAsia="Times New Roman" w:cstheme="minorHAnsi"/>
                <w:color w:val="000000"/>
                <w:sz w:val="28"/>
              </w:rPr>
              <w:t xml:space="preserve"> The comparison table of post hoc Tukey test. </w:t>
            </w:r>
          </w:p>
          <w:p w:rsid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 xml:space="preserve">All pairs which are </w:t>
            </w:r>
            <w:r>
              <w:rPr>
                <w:rFonts w:eastAsia="Times New Roman" w:cstheme="minorHAnsi"/>
                <w:color w:val="000000"/>
                <w:sz w:val="28"/>
              </w:rPr>
              <w:t xml:space="preserve">significantly </w:t>
            </w:r>
            <w:r>
              <w:rPr>
                <w:rFonts w:eastAsia="Times New Roman" w:cstheme="minorHAnsi"/>
                <w:color w:val="000000"/>
                <w:sz w:val="28"/>
              </w:rPr>
              <w:t xml:space="preserve">different mark </w:t>
            </w:r>
            <w:r>
              <w:rPr>
                <w:rFonts w:eastAsia="Times New Roman" w:cstheme="minorHAnsi"/>
                <w:color w:val="000000"/>
                <w:sz w:val="28"/>
              </w:rPr>
              <w:t xml:space="preserve">from </w:t>
            </w:r>
            <w:r>
              <w:rPr>
                <w:rFonts w:eastAsia="Times New Roman" w:cstheme="minorHAnsi"/>
                <w:color w:val="000000"/>
                <w:sz w:val="28"/>
              </w:rPr>
              <w:t>gree</w:t>
            </w:r>
            <w:r>
              <w:rPr>
                <w:rFonts w:eastAsia="Times New Roman" w:cstheme="minorHAnsi"/>
                <w:color w:val="000000"/>
                <w:sz w:val="28"/>
              </w:rPr>
              <w:t xml:space="preserve">n (bigger mean difference) </w:t>
            </w:r>
            <w:r>
              <w:rPr>
                <w:rFonts w:eastAsia="Times New Roman" w:cstheme="minorHAnsi"/>
                <w:color w:val="000000"/>
                <w:sz w:val="28"/>
              </w:rPr>
              <w:t xml:space="preserve"> </w:t>
            </w:r>
          </w:p>
          <w:p w:rsidR="00943CAB" w:rsidRP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to yellow (less mean difference). Red means no significant difference.</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01.Jan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02.Feb</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03.Mar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04.Apr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05.May</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06.Jun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07.Jul</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08.Aug</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09.Sep</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10.Oct</w:t>
            </w:r>
          </w:p>
        </w:tc>
        <w:tc>
          <w:tcPr>
            <w:tcW w:w="38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11.Nov</w:t>
            </w:r>
          </w:p>
        </w:tc>
        <w:tc>
          <w:tcPr>
            <w:tcW w:w="374"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w:t>
            </w: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w:t>
            </w: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w:t>
            </w:r>
          </w:p>
        </w:tc>
        <w:tc>
          <w:tcPr>
            <w:tcW w:w="402"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What about the amount of property damaged?</w:t>
      </w:r>
      <w:r w:rsidRPr="0078657E">
        <w:rPr>
          <w:rFonts w:eastAsia="Times New Roman" w:cstheme="minorHAnsi"/>
          <w:color w:val="000000"/>
          <w:sz w:val="28"/>
          <w:szCs w:val="28"/>
        </w:rPr>
        <w:t xml:space="preserve"> </w:t>
      </w:r>
      <w:r w:rsidR="00AA20CA">
        <w:rPr>
          <w:rFonts w:eastAsia="Times New Roman" w:cstheme="minorHAnsi"/>
          <w:color w:val="000000"/>
          <w:sz w:val="28"/>
          <w:szCs w:val="28"/>
        </w:rPr>
        <w:t>Although</w:t>
      </w:r>
      <w:r>
        <w:rPr>
          <w:rFonts w:eastAsia="Times New Roman" w:cstheme="minorHAnsi"/>
          <w:color w:val="000000"/>
          <w:sz w:val="28"/>
          <w:szCs w:val="28"/>
        </w:rPr>
        <w:t xml:space="preserve"> the association of the amount with group of months is not so clear like it was with the fact of damage, p-value is pretty low, which means that not all groups are equal and we have to reject the null hypothesis.</w:t>
      </w:r>
      <w:r w:rsidR="00943CAB">
        <w:rPr>
          <w:rFonts w:eastAsia="Times New Roman" w:cstheme="minorHAnsi"/>
          <w:color w:val="000000"/>
          <w:sz w:val="28"/>
          <w:szCs w:val="28"/>
        </w:rPr>
        <w:t xml:space="preserve"> The table 5 shows that some of the months are significantly different from others.</w:t>
      </w:r>
      <w:r w:rsidR="00AA20CA">
        <w:rPr>
          <w:rFonts w:eastAsia="Times New Roman"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eastAsia="Times New Roman" w:cstheme="minorHAnsi"/>
          <w:color w:val="000000"/>
          <w:sz w:val="28"/>
          <w:szCs w:val="28"/>
        </w:rPr>
        <w:t xml:space="preserve">not different with each other in terms of the property damage amount. </w:t>
      </w:r>
      <w:proofErr w:type="gramStart"/>
      <w:r w:rsidR="007F2B51">
        <w:rPr>
          <w:rFonts w:eastAsia="Times New Roman" w:cstheme="minorHAnsi"/>
          <w:color w:val="000000"/>
          <w:sz w:val="28"/>
          <w:szCs w:val="28"/>
        </w:rPr>
        <w:t>So</w:t>
      </w:r>
      <w:proofErr w:type="gramEnd"/>
      <w:r w:rsidR="007F2B51">
        <w:rPr>
          <w:rFonts w:eastAsia="Times New Roman" w:cstheme="minorHAnsi"/>
          <w:color w:val="000000"/>
          <w:sz w:val="28"/>
          <w:szCs w:val="28"/>
        </w:rPr>
        <w:t xml:space="preserve"> damage amount has two stable periods from February to May and from June to October, then we can see some changes. </w:t>
      </w:r>
      <w:r w:rsidR="00AA20CA">
        <w:rPr>
          <w:rFonts w:eastAsia="Times New Roman"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Thus, there are strong and clear association between the fact of damaged property with the season when it happened. About the amount of damage, </w:t>
      </w:r>
      <w:r w:rsidR="007F2B51">
        <w:rPr>
          <w:rFonts w:eastAsia="Times New Roman" w:cstheme="minorHAnsi"/>
          <w:color w:val="000000"/>
          <w:sz w:val="28"/>
          <w:szCs w:val="28"/>
        </w:rPr>
        <w:t>there are two periods without significant change in the amount of property damage and a winter period with significant difference but without clear pattern</w:t>
      </w:r>
      <w:r>
        <w:rPr>
          <w:rFonts w:eastAsia="Times New Roman"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891768">
        <w:rPr>
          <w:rFonts w:eastAsia="Times New Roman" w:cstheme="minorHAnsi"/>
          <w:color w:val="000000"/>
          <w:sz w:val="28"/>
          <w:szCs w:val="28"/>
        </w:rPr>
        <w:t xml:space="preserve">Bar charts showing </w:t>
      </w:r>
    </w:p>
    <w:tbl>
      <w:tblPr>
        <w:tblStyle w:val="a6"/>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3261FF">
        <w:trPr>
          <w:trHeight w:val="44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val="restart"/>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4FBE2DA9" wp14:editId="4DEA8628">
                  <wp:extent cx="2777441" cy="4079009"/>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erty_damaged_vs_climate_region.png"/>
                          <pic:cNvPicPr/>
                        </pic:nvPicPr>
                        <pic:blipFill rotWithShape="1">
                          <a:blip r:embed="rId13" cstate="print">
                            <a:extLst>
                              <a:ext uri="{28A0092B-C50C-407E-A947-70E740481C1C}">
                                <a14:useLocalDpi xmlns:a14="http://schemas.microsoft.com/office/drawing/2010/main" val="0"/>
                              </a:ext>
                            </a:extLst>
                          </a:blip>
                          <a:srcRect l="35542" r="5224" b="6812"/>
                          <a:stretch/>
                        </pic:blipFill>
                        <pic:spPr bwMode="auto">
                          <a:xfrm>
                            <a:off x="0" y="0"/>
                            <a:ext cx="2820077" cy="4141625"/>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t xml:space="preserve"> </w:t>
            </w:r>
            <w:r>
              <w:rPr>
                <w:rFonts w:eastAsia="Times New Roman" w:cstheme="minorHAnsi"/>
                <w:noProof/>
                <w:color w:val="000000"/>
                <w:sz w:val="28"/>
                <w:szCs w:val="28"/>
              </w:rPr>
              <w:drawing>
                <wp:inline distT="0" distB="0" distL="0" distR="0" wp14:anchorId="39299D99" wp14:editId="0C8FD419">
                  <wp:extent cx="2865318" cy="4171071"/>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g_damage_vs_climate_region.png"/>
                          <pic:cNvPicPr/>
                        </pic:nvPicPr>
                        <pic:blipFill rotWithShape="1">
                          <a:blip r:embed="rId14" cstate="print">
                            <a:extLst>
                              <a:ext uri="{28A0092B-C50C-407E-A947-70E740481C1C}">
                                <a14:useLocalDpi xmlns:a14="http://schemas.microsoft.com/office/drawing/2010/main" val="0"/>
                              </a:ext>
                            </a:extLst>
                          </a:blip>
                          <a:srcRect l="35896" r="4920" b="7710"/>
                          <a:stretch/>
                        </pic:blipFill>
                        <pic:spPr bwMode="auto">
                          <a:xfrm>
                            <a:off x="0" y="0"/>
                            <a:ext cx="2899186" cy="4220374"/>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3261FF">
        <w:trPr>
          <w:trHeight w:val="44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sidRPr="008B6E9B">
              <w:rPr>
                <w:rFonts w:eastAsia="Times New Roman" w:cstheme="minorHAnsi"/>
                <w:color w:val="000000"/>
                <w:sz w:val="24"/>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3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sidRPr="008B6E9B">
              <w:rPr>
                <w:rFonts w:eastAsia="Times New Roman" w:cstheme="minorHAnsi"/>
                <w:color w:val="000000"/>
                <w:sz w:val="24"/>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3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sidRPr="008B6E9B">
              <w:rPr>
                <w:rFonts w:eastAsia="Times New Roman" w:cstheme="minorHAnsi"/>
                <w:color w:val="000000"/>
                <w:sz w:val="24"/>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3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sidRPr="008B6E9B">
              <w:rPr>
                <w:rFonts w:eastAsia="Times New Roman" w:cstheme="minorHAnsi"/>
                <w:color w:val="000000"/>
                <w:sz w:val="24"/>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21"/>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458"/>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611"/>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3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4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54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648"/>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3261FF">
        <w:trPr>
          <w:trHeight w:val="498"/>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8B6E9B" w:rsidTr="003261FF">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Chi-square value:</w:t>
            </w:r>
            <w:r>
              <w:rPr>
                <w:rFonts w:eastAsia="Times New Roman" w:cstheme="minorHAnsi"/>
                <w:i/>
                <w:color w:val="000000"/>
                <w:sz w:val="28"/>
                <w:szCs w:val="28"/>
              </w:rPr>
              <w:t xml:space="preserve"> </w:t>
            </w:r>
            <w:r w:rsidRPr="00891768">
              <w:rPr>
                <w:rFonts w:eastAsia="Times New Roman" w:cstheme="minorHAnsi"/>
                <w:i/>
                <w:color w:val="000000"/>
                <w:sz w:val="28"/>
                <w:szCs w:val="28"/>
              </w:rPr>
              <w:t>5113.28</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F-statistic:</w:t>
            </w:r>
            <w:r>
              <w:t xml:space="preserve"> </w:t>
            </w:r>
            <w:r w:rsidRPr="00891768">
              <w:rPr>
                <w:rFonts w:eastAsia="Times New Roman" w:cstheme="minorHAnsi"/>
                <w:i/>
                <w:color w:val="000000"/>
                <w:sz w:val="28"/>
                <w:szCs w:val="28"/>
              </w:rPr>
              <w:t>321.4</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bookmarkStart w:id="0" w:name="_GoBack"/>
            <w:bookmarkEnd w:id="0"/>
          </w:p>
        </w:tc>
      </w:tr>
      <w:tr w:rsidR="00706F6E" w:rsidTr="003261FF">
        <w:trPr>
          <w:jc w:val="center"/>
        </w:trPr>
        <w:tc>
          <w:tcPr>
            <w:tcW w:w="11155" w:type="dxa"/>
            <w:gridSpan w:val="3"/>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3.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 climate region where the event took place. For every category mean is calculated and confidence intervals are shown.</w:t>
            </w:r>
          </w:p>
        </w:tc>
      </w:tr>
    </w:tbl>
    <w:p w:rsidR="00706F6E"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706F6E" w:rsidRDefault="00706F6E"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On the figure 4 we can see the bar charts showing </w:t>
      </w:r>
      <w:r w:rsidR="00891768">
        <w:rPr>
          <w:rFonts w:eastAsia="Times New Roman" w:cstheme="minorHAnsi"/>
          <w:color w:val="000000"/>
          <w:sz w:val="28"/>
          <w:szCs w:val="28"/>
        </w:rPr>
        <w:t xml:space="preserve">the association of the property damage variables with climate region. In both cases (the fact of property damage and the amount of it) p-value so low, that it was considered like zero. Like with the months we can see that variance in the mean frequency of property damage happening is much higher than variance in </w:t>
      </w:r>
      <w:r w:rsidR="000D5FAB">
        <w:rPr>
          <w:rFonts w:eastAsia="Times New Roman" w:cstheme="minorHAnsi"/>
          <w:color w:val="000000"/>
          <w:sz w:val="28"/>
          <w:szCs w:val="28"/>
        </w:rPr>
        <w:t xml:space="preserve">the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Chi-square value:</w:t>
            </w:r>
            <w:r w:rsidR="00891768">
              <w:t xml:space="preserve"> </w:t>
            </w:r>
            <w:r w:rsidR="00891768" w:rsidRPr="00891768">
              <w:rPr>
                <w:rFonts w:eastAsia="Times New Roman" w:cstheme="minorHAnsi"/>
                <w:i/>
                <w:color w:val="000000"/>
                <w:sz w:val="28"/>
                <w:szCs w:val="28"/>
              </w:rPr>
              <w:t>14463.76</w:t>
            </w:r>
            <w:r w:rsidRPr="00AA20CA">
              <w:rPr>
                <w:rFonts w:eastAsia="Times New Roman" w:cstheme="minorHAnsi"/>
                <w:i/>
                <w:color w:val="000000"/>
                <w:sz w:val="28"/>
                <w:szCs w:val="28"/>
              </w:rPr>
              <w:t>; p-value:</w:t>
            </w:r>
            <w:r w:rsidR="00891768">
              <w:rPr>
                <w:rFonts w:eastAsia="Times New Roman" w:cstheme="minorHAnsi"/>
                <w:i/>
                <w:color w:val="000000"/>
                <w:sz w:val="28"/>
                <w:szCs w:val="28"/>
              </w:rPr>
              <w:t>0.0</w:t>
            </w:r>
            <w:r w:rsidRPr="00AA20CA">
              <w:rPr>
                <w:rFonts w:eastAsia="Times New Roman"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F-statistic:</w:t>
            </w:r>
            <w:r w:rsidR="00891768">
              <w:rPr>
                <w:rFonts w:eastAsia="Times New Roman" w:cstheme="minorHAnsi"/>
                <w:i/>
                <w:color w:val="000000"/>
                <w:sz w:val="28"/>
                <w:szCs w:val="28"/>
              </w:rPr>
              <w:t>188.8</w:t>
            </w:r>
            <w:r w:rsidRPr="00AA20CA">
              <w:rPr>
                <w:rFonts w:eastAsia="Times New Roman" w:cstheme="minorHAnsi"/>
                <w:i/>
                <w:color w:val="000000"/>
                <w:sz w:val="28"/>
                <w:szCs w:val="28"/>
              </w:rPr>
              <w:t>; p-value:</w:t>
            </w:r>
            <w:r w:rsidR="00891768">
              <w:t xml:space="preserve"> </w:t>
            </w:r>
            <w:r w:rsidR="00891768" w:rsidRPr="00891768">
              <w:rPr>
                <w:rFonts w:eastAsia="Times New Roman" w:cstheme="minorHAnsi"/>
                <w:i/>
                <w:color w:val="000000"/>
                <w:sz w:val="28"/>
                <w:szCs w:val="28"/>
              </w:rPr>
              <w:t>7.37e-43</w:t>
            </w:r>
          </w:p>
        </w:tc>
      </w:tr>
      <w:tr w:rsidR="00706F6E" w:rsidTr="00891768">
        <w:trPr>
          <w:jc w:val="center"/>
        </w:trPr>
        <w:tc>
          <w:tcPr>
            <w:tcW w:w="10705" w:type="dxa"/>
            <w:gridSpan w:val="2"/>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4.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an event type designator</w:t>
            </w:r>
            <w:r w:rsidR="00891768">
              <w:rPr>
                <w:rFonts w:eastAsia="Times New Roman" w:cstheme="minorHAnsi"/>
                <w:b/>
                <w:color w:val="000000"/>
                <w:sz w:val="28"/>
                <w:szCs w:val="28"/>
              </w:rPr>
              <w:t>s Z(blue) and C(orange)</w:t>
            </w:r>
            <w:r>
              <w:rPr>
                <w:rFonts w:eastAsia="Times New Roman" w:cstheme="minorHAnsi"/>
                <w:b/>
                <w:color w:val="000000"/>
                <w:sz w:val="28"/>
                <w:szCs w:val="28"/>
              </w:rPr>
              <w:t>.</w:t>
            </w:r>
            <w:r w:rsidR="007F2B51">
              <w:rPr>
                <w:rFonts w:eastAsia="Times New Roman" w:cstheme="minorHAnsi"/>
                <w:b/>
                <w:color w:val="000000"/>
                <w:sz w:val="28"/>
                <w:szCs w:val="28"/>
              </w:rPr>
              <w:t xml:space="preserve"> </w:t>
            </w:r>
            <w:r>
              <w:rPr>
                <w:rFonts w:eastAsia="Times New Roman" w:cstheme="minorHAnsi"/>
                <w:b/>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891768" w:rsidRP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jfdskfj</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t>
      </w:r>
      <w:r w:rsidR="00D0021E">
        <w:rPr>
          <w:rFonts w:eastAsia="Times New Roman" w:cstheme="minorHAnsi"/>
          <w:color w:val="000000"/>
          <w:sz w:val="28"/>
          <w:szCs w:val="28"/>
        </w:rPr>
        <w:t>of the dam</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005BAA"/>
    <w:rsid w:val="00037AA2"/>
    <w:rsid w:val="00046171"/>
    <w:rsid w:val="000634CD"/>
    <w:rsid w:val="00091237"/>
    <w:rsid w:val="000A4CA9"/>
    <w:rsid w:val="000D5FAB"/>
    <w:rsid w:val="000F3500"/>
    <w:rsid w:val="001B54F6"/>
    <w:rsid w:val="001F2809"/>
    <w:rsid w:val="00240B09"/>
    <w:rsid w:val="00263C94"/>
    <w:rsid w:val="00270411"/>
    <w:rsid w:val="002B322B"/>
    <w:rsid w:val="00305E2B"/>
    <w:rsid w:val="003261FF"/>
    <w:rsid w:val="00341FAF"/>
    <w:rsid w:val="00380CCA"/>
    <w:rsid w:val="003C5B53"/>
    <w:rsid w:val="003D3D6F"/>
    <w:rsid w:val="00493A94"/>
    <w:rsid w:val="004C1050"/>
    <w:rsid w:val="005138E7"/>
    <w:rsid w:val="00575353"/>
    <w:rsid w:val="00575AF7"/>
    <w:rsid w:val="005C6FCC"/>
    <w:rsid w:val="005E4C1A"/>
    <w:rsid w:val="00640629"/>
    <w:rsid w:val="006A7F70"/>
    <w:rsid w:val="00706F6E"/>
    <w:rsid w:val="00713F5E"/>
    <w:rsid w:val="00720293"/>
    <w:rsid w:val="0078657E"/>
    <w:rsid w:val="007E7400"/>
    <w:rsid w:val="007F2B51"/>
    <w:rsid w:val="008025F5"/>
    <w:rsid w:val="008722DA"/>
    <w:rsid w:val="00891768"/>
    <w:rsid w:val="0089264A"/>
    <w:rsid w:val="008B6E9B"/>
    <w:rsid w:val="0092493F"/>
    <w:rsid w:val="00943CAB"/>
    <w:rsid w:val="0094530E"/>
    <w:rsid w:val="00AA20CA"/>
    <w:rsid w:val="00AD0532"/>
    <w:rsid w:val="00AE7433"/>
    <w:rsid w:val="00C07383"/>
    <w:rsid w:val="00C37898"/>
    <w:rsid w:val="00C7153C"/>
    <w:rsid w:val="00CA075B"/>
    <w:rsid w:val="00CC7B69"/>
    <w:rsid w:val="00CE7D30"/>
    <w:rsid w:val="00D0021E"/>
    <w:rsid w:val="00D41028"/>
    <w:rsid w:val="00E65F4A"/>
    <w:rsid w:val="00E67CF6"/>
    <w:rsid w:val="00E87AE9"/>
    <w:rsid w:val="00E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C6"/>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 w:type="paragraph" w:styleId="a5">
    <w:name w:val="List Paragraph"/>
    <w:basedOn w:val="a"/>
    <w:uiPriority w:val="34"/>
    <w:qFormat/>
    <w:rsid w:val="00263C94"/>
    <w:pPr>
      <w:ind w:left="720"/>
      <w:contextualSpacing/>
    </w:pPr>
  </w:style>
  <w:style w:type="table" w:styleId="a6">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EA55-B52C-45AC-8346-3DA5AED4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9</Pages>
  <Words>2223</Words>
  <Characters>12672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17</cp:revision>
  <dcterms:created xsi:type="dcterms:W3CDTF">2018-10-01T19:55:00Z</dcterms:created>
  <dcterms:modified xsi:type="dcterms:W3CDTF">2018-10-02T21:45:00Z</dcterms:modified>
</cp:coreProperties>
</file>