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Autospacing="1" w:afterAutospacing="1"/>
        <w:ind w:firstLine="708"/>
        <w:rPr>
          <w:rFonts w:eastAsia="Times New Roman"/>
          <w:b w:val="false"/>
          <w:b w:val="false"/>
          <w:bCs w:val="false"/>
          <w:i w:val="false"/>
          <w:i w:val="false"/>
          <w:iCs w:val="false"/>
          <w:color w:val="FF0000"/>
          <w:sz w:val="24"/>
          <w:szCs w:val="24"/>
          <w:lang w:eastAsia="ru-RU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Учебный центр Закрытого акционерного общества «Региональный аттестационный центр» основан в 2022 году, проводит набор на обучение по дополнительным профессиональным образовательным программам повышения квалификации:</w:t>
      </w:r>
    </w:p>
    <w:p>
      <w:pPr>
        <w:pStyle w:val="ListParagraph"/>
        <w:numPr>
          <w:ilvl w:val="0"/>
          <w:numId w:val="7"/>
        </w:numPr>
        <w:spacing w:beforeAutospacing="1" w:afterAutospacing="1"/>
        <w:contextualSpacing/>
        <w:rPr>
          <w:color w:val="000000"/>
        </w:rPr>
      </w:pPr>
      <w:r>
        <w:rPr>
          <w:rFonts w:eastAsia="Times New Roman"/>
          <w:i w:val="false"/>
          <w:iCs w:val="false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i w:val="false"/>
          <w:iCs w:val="false"/>
          <w:color w:val="000000"/>
          <w:sz w:val="24"/>
          <w:szCs w:val="24"/>
          <w:lang w:eastAsia="ru-RU"/>
        </w:rPr>
        <w:t xml:space="preserve">«Организация проведения работ по защите государственной тайны в организации» (ОПЗГТ, 72 часа) </w:t>
      </w: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  <w:lang w:eastAsia="ru-RU"/>
        </w:rPr>
        <w:t>– для обучения руководителей организаций;</w:t>
      </w:r>
    </w:p>
    <w:p>
      <w:pPr>
        <w:pStyle w:val="ListParagraph"/>
        <w:spacing w:beforeAutospacing="1" w:afterAutospacing="1"/>
        <w:contextualSpacing/>
        <w:rPr>
          <w:rFonts w:eastAsia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eastAsia="ru-RU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  <w:lang w:eastAsia="ru-RU"/>
        </w:rPr>
      </w:r>
    </w:p>
    <w:p>
      <w:pPr>
        <w:pStyle w:val="ListParagraph"/>
        <w:numPr>
          <w:ilvl w:val="0"/>
          <w:numId w:val="7"/>
        </w:numPr>
        <w:spacing w:beforeAutospacing="1" w:afterAutospacing="1"/>
        <w:contextualSpacing/>
        <w:rPr>
          <w:rFonts w:eastAsia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eastAsia="ru-RU"/>
        </w:rPr>
      </w:pPr>
      <w:r>
        <w:rPr>
          <w:rFonts w:eastAsia="Times New Roman"/>
          <w:i w:val="false"/>
          <w:iCs w:val="false"/>
          <w:color w:val="000000"/>
          <w:sz w:val="24"/>
          <w:szCs w:val="24"/>
          <w:lang w:eastAsia="ru-RU"/>
        </w:rPr>
        <w:t xml:space="preserve">«Защита государственной тайны» (ЗГТ, 24 часа) – </w:t>
      </w:r>
      <w:bookmarkStart w:id="0" w:name="_Hlk121819138"/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  <w:lang w:eastAsia="ru-RU"/>
        </w:rPr>
        <w:t>для обучения работников организаций, в должностные (функциональные) обязанности которых входит работа с государственной тайной;</w:t>
      </w:r>
      <w:bookmarkEnd w:id="0"/>
    </w:p>
    <w:p>
      <w:pPr>
        <w:pStyle w:val="ListParagraph"/>
        <w:rPr>
          <w:rFonts w:eastAsia="Times New Roman"/>
          <w:i w:val="false"/>
          <w:i w:val="false"/>
          <w:iCs w:val="false"/>
          <w:color w:val="000000"/>
          <w:sz w:val="24"/>
          <w:szCs w:val="24"/>
          <w:lang w:eastAsia="ru-RU"/>
        </w:rPr>
      </w:pPr>
      <w:r>
        <w:rPr>
          <w:rFonts w:eastAsia="Times New Roman"/>
          <w:i w:val="false"/>
          <w:iCs w:val="false"/>
          <w:color w:val="000000"/>
          <w:sz w:val="24"/>
          <w:szCs w:val="24"/>
          <w:lang w:eastAsia="ru-RU"/>
        </w:rPr>
      </w:r>
    </w:p>
    <w:p>
      <w:pPr>
        <w:pStyle w:val="ListParagraph"/>
        <w:numPr>
          <w:ilvl w:val="0"/>
          <w:numId w:val="7"/>
        </w:numPr>
        <w:spacing w:beforeAutospacing="1" w:afterAutospacing="1"/>
        <w:contextualSpacing/>
        <w:rPr>
          <w:color w:val="000000"/>
        </w:rPr>
      </w:pPr>
      <w:r>
        <w:rPr>
          <w:rFonts w:eastAsia="Times New Roman"/>
          <w:i w:val="false"/>
          <w:iCs w:val="false"/>
          <w:color w:val="000000"/>
          <w:sz w:val="24"/>
          <w:szCs w:val="24"/>
          <w:lang w:eastAsia="ru-RU"/>
        </w:rPr>
        <w:t xml:space="preserve">«Обеспечение защиты государственной тайны в организации» (ОЗГТ, 201 час) </w:t>
      </w: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  <w:lang w:eastAsia="ru-RU"/>
        </w:rPr>
        <w:t>– для обучения руководителей и специалистов режимно-секретных подразделений организаций.</w:t>
      </w:r>
    </w:p>
    <w:p>
      <w:pPr>
        <w:pStyle w:val="ListParagraph"/>
        <w:rPr>
          <w:rFonts w:eastAsia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eastAsia="ru-RU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  <w:lang w:eastAsia="ru-RU"/>
        </w:rPr>
      </w:r>
    </w:p>
    <w:p>
      <w:pPr>
        <w:pStyle w:val="Style15"/>
        <w:spacing w:before="0" w:after="0"/>
        <w:ind w:firstLine="708"/>
        <w:jc w:val="both"/>
        <w:rPr>
          <w:color w:val="000000"/>
        </w:rPr>
      </w:pPr>
      <w:r>
        <w:rPr>
          <w:color w:val="000000"/>
        </w:rPr>
        <w:t>Указанные программы утверждены Приказом директора ЗАО «РАЦ» от 14 февраля 2022 г. № 3 «Об утверждении дополнительных профессиональных программ повышения квалификации».</w:t>
      </w:r>
    </w:p>
    <w:p>
      <w:pPr>
        <w:pStyle w:val="Normal"/>
        <w:spacing w:beforeAutospacing="1" w:afterAutospacing="1"/>
        <w:ind w:firstLine="708"/>
        <w:rPr>
          <w:rFonts w:eastAsia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eastAsia="ru-RU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Решением Межведомственной комиссии по защите государственной тайны от 29 сентября 2022 г. № 436 ЗАО «РАЦ» включен в «Перечень организаций, осуществляющих образовательную деятельность, по окончании которых выдается документ об образовании и (или) о квалификации, дающий право руководителям организаций, ответственным за защиту сведений, составляющих государственную тайну, считаться прошедшими государственную аттестацию».</w:t>
      </w:r>
    </w:p>
    <w:p>
      <w:pPr>
        <w:pStyle w:val="Normal"/>
        <w:spacing w:beforeAutospacing="1" w:afterAutospacing="1"/>
        <w:ind w:firstLine="708"/>
        <w:rPr>
          <w:rFonts w:eastAsia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eastAsia="ru-RU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  <w:lang w:eastAsia="ru-RU"/>
        </w:rPr>
        <w:t xml:space="preserve">ЗАО «РАЦ»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осуществляет образовательную деятельность на основании лицензии                  № Л035-01216-73/00266950, выданной 16 марта 2022 года Министерством просвещения и воспитания Ульяновской области. Лицензия бессрочная.</w:t>
      </w:r>
    </w:p>
    <w:p>
      <w:pPr>
        <w:pStyle w:val="Normal"/>
        <w:spacing w:beforeAutospacing="1" w:afterAutospacing="1"/>
        <w:ind w:firstLine="708"/>
        <w:rPr>
          <w:rFonts w:eastAsia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eastAsia="ru-RU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  <w:lang w:eastAsia="ru-RU"/>
        </w:rPr>
        <w:t>ЗАО «РАЦ» имеет лицензию на осуществление работ, связанных с использованием сведений, составляющих государственную тайну, выданную УФСБ России по Ульяновской области.</w:t>
      </w:r>
    </w:p>
    <w:p>
      <w:pPr>
        <w:pStyle w:val="Normal"/>
        <w:spacing w:beforeAutospacing="1" w:afterAutospacing="1"/>
        <w:ind w:firstLine="708"/>
        <w:rPr>
          <w:rFonts w:eastAsia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eastAsia="ru-RU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  <w:lang w:eastAsia="ru-RU"/>
        </w:rPr>
        <w:t>Обучение по программам дополнительного профессионального образования в учебном центре ЗАО «РАЦ» имеет практическую направленность и базируется на изучении передового опыта в области защиты государственной тайны, обеспечения режима секретности, секретного делопроизводства, противодействия иностранным техническим разведкам и технической защиты информации. Учебный процесс включает лекционные и практические занятия, а также контроль полученных знаний. К проведению занятий привлекаются специалисты ЗАО «РАЦ» с опытом работы в области ЗГТ.</w:t>
      </w:r>
    </w:p>
    <w:p>
      <w:pPr>
        <w:pStyle w:val="Normal"/>
        <w:spacing w:beforeAutospacing="1" w:afterAutospacing="1"/>
        <w:ind w:firstLine="708"/>
        <w:jc w:val="left"/>
        <w:rPr>
          <w:rFonts w:eastAsia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eastAsia="ru-RU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  <w:lang w:eastAsia="ru-RU"/>
        </w:rPr>
        <w:t>К освоению дополнительных профессиональных программ допускаются:</w:t>
      </w:r>
      <w:bookmarkStart w:id="1" w:name="dst101006"/>
      <w:bookmarkEnd w:id="1"/>
    </w:p>
    <w:p>
      <w:pPr>
        <w:pStyle w:val="Normal"/>
        <w:numPr>
          <w:ilvl w:val="0"/>
          <w:numId w:val="1"/>
        </w:numPr>
        <w:spacing w:beforeAutospacing="1" w:after="0"/>
        <w:jc w:val="left"/>
        <w:rPr>
          <w:rFonts w:eastAsia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eastAsia="ru-RU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  <w:lang w:eastAsia="ru-RU"/>
        </w:rPr>
        <w:t>лица, имеющие среднее профессиональное и (или) высшее образование,</w:t>
      </w:r>
    </w:p>
    <w:p>
      <w:pPr>
        <w:pStyle w:val="Normal"/>
        <w:numPr>
          <w:ilvl w:val="0"/>
          <w:numId w:val="1"/>
        </w:numPr>
        <w:spacing w:before="0" w:afterAutospacing="1"/>
        <w:jc w:val="left"/>
        <w:rPr>
          <w:rFonts w:eastAsia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eastAsia="ru-RU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  <w:lang w:eastAsia="ru-RU"/>
        </w:rPr>
        <w:t>лица, получающие среднее профессиональное и (или) высшее образование.</w:t>
      </w:r>
    </w:p>
    <w:p>
      <w:pPr>
        <w:pStyle w:val="Normal"/>
        <w:spacing w:beforeAutospacing="1" w:afterAutospacing="1"/>
        <w:rPr/>
      </w:pPr>
      <w:hyperlink r:id="rId2" w:tgtFrame="http://legalacts.ru/doc/273_FZ-ob-obrazovanii/glava-10/statja-76/">
        <w:r>
          <w:rPr>
            <w:rStyle w:val="ListLabel95"/>
            <w:rFonts w:eastAsia="Times New Roman"/>
            <w:b w:val="false"/>
            <w:bCs w:val="false"/>
            <w:i w:val="false"/>
            <w:iCs w:val="false"/>
            <w:color w:val="000000"/>
            <w:sz w:val="24"/>
            <w:szCs w:val="24"/>
            <w:u w:val="single"/>
            <w:lang w:eastAsia="ru-RU"/>
          </w:rPr>
          <w:t>Федеральный закон от 29.12.2012 № 273-ФЗ «Об образовании в Российской Федерации». Глава 10 «Дополнительное образование». Статья 76 «Дополнительное профессиональное образование».</w:t>
        </w:r>
      </w:hyperlink>
    </w:p>
    <w:p>
      <w:pPr>
        <w:pStyle w:val="Normal"/>
        <w:numPr>
          <w:ilvl w:val="0"/>
          <w:numId w:val="0"/>
        </w:numPr>
        <w:spacing w:beforeAutospacing="1" w:afterAutospacing="1"/>
        <w:outlineLvl w:val="4"/>
        <w:rPr>
          <w:color w:val="000000"/>
        </w:rPr>
      </w:pPr>
      <w:r>
        <w:rPr>
          <w:rFonts w:eastAsia="Times New Roman"/>
          <w:i w:val="false"/>
          <w:iCs w:val="false"/>
          <w:color w:val="000000"/>
          <w:sz w:val="24"/>
          <w:szCs w:val="24"/>
          <w:lang w:eastAsia="ru-RU"/>
        </w:rPr>
        <w:t xml:space="preserve">Обращаем Ваше внимание! На сайте, в разделе </w:t>
      </w:r>
      <w:r>
        <w:rPr>
          <w:rFonts w:eastAsia="Times New Roman"/>
          <w:i w:val="false"/>
          <w:iCs w:val="false"/>
          <w:color w:val="000000"/>
          <w:sz w:val="24"/>
          <w:szCs w:val="24"/>
          <w:highlight w:val="yellow"/>
          <w:lang w:eastAsia="ru-RU"/>
        </w:rPr>
        <w:t>документы</w:t>
      </w:r>
      <w:r>
        <w:rPr>
          <w:rFonts w:eastAsia="Times New Roman"/>
          <w:i w:val="false"/>
          <w:iCs w:val="false"/>
          <w:color w:val="000000"/>
          <w:sz w:val="24"/>
          <w:szCs w:val="24"/>
          <w:lang w:eastAsia="ru-RU"/>
        </w:rPr>
        <w:t>, размещено расписание курсов на 202</w:t>
      </w:r>
      <w:r>
        <w:rPr>
          <w:rFonts w:eastAsia="Times New Roman"/>
          <w:i w:val="false"/>
          <w:iCs w:val="false"/>
          <w:color w:val="000000"/>
          <w:sz w:val="24"/>
          <w:szCs w:val="24"/>
          <w:lang w:eastAsia="ru-RU"/>
        </w:rPr>
        <w:t>5</w:t>
      </w:r>
      <w:r>
        <w:rPr>
          <w:rFonts w:eastAsia="Times New Roman"/>
          <w:i w:val="false"/>
          <w:iCs w:val="false"/>
          <w:color w:val="000000"/>
          <w:sz w:val="24"/>
          <w:szCs w:val="24"/>
          <w:lang w:eastAsia="ru-RU"/>
        </w:rPr>
        <w:t xml:space="preserve"> год.</w:t>
      </w:r>
      <w:bookmarkStart w:id="2" w:name="_GoBack"/>
      <w:bookmarkEnd w:id="2"/>
    </w:p>
    <w:p>
      <w:pPr>
        <w:pStyle w:val="Normal"/>
        <w:numPr>
          <w:ilvl w:val="0"/>
          <w:numId w:val="0"/>
        </w:numPr>
        <w:spacing w:beforeAutospacing="1" w:afterAutospacing="1"/>
        <w:outlineLvl w:val="3"/>
        <w:rPr>
          <w:rFonts w:eastAsia="Times New Roman"/>
          <w:i w:val="false"/>
          <w:i w:val="false"/>
          <w:iCs w:val="false"/>
          <w:sz w:val="24"/>
          <w:szCs w:val="24"/>
          <w:lang w:eastAsia="ru-RU"/>
        </w:rPr>
      </w:pPr>
      <w:r>
        <w:rPr>
          <w:rFonts w:eastAsia="Times New Roman"/>
          <w:i w:val="false"/>
          <w:iCs w:val="false"/>
          <w:color w:val="000000"/>
          <w:sz w:val="24"/>
          <w:szCs w:val="24"/>
          <w:lang w:eastAsia="ru-RU"/>
        </w:rPr>
        <w:t>Образовательный процесс:</w:t>
      </w:r>
    </w:p>
    <w:p>
      <w:pPr>
        <w:pStyle w:val="Normal"/>
        <w:spacing w:beforeAutospacing="1" w:afterAutospacing="1"/>
        <w:rPr>
          <w:rFonts w:eastAsia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eastAsia="ru-RU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  <w:lang w:eastAsia="ru-RU"/>
        </w:rPr>
        <w:t xml:space="preserve">Форма обучения </w:t>
      </w:r>
      <w:r>
        <w:rPr>
          <w:rFonts w:eastAsia="Times New Roman"/>
          <w:i w:val="false"/>
          <w:iCs w:val="false"/>
          <w:color w:val="000000"/>
          <w:sz w:val="24"/>
          <w:szCs w:val="24"/>
          <w:lang w:eastAsia="ru-RU"/>
        </w:rPr>
        <w:t>очная</w:t>
      </w: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  <w:lang w:eastAsia="ru-RU"/>
        </w:rPr>
        <w:t xml:space="preserve">. </w:t>
      </w:r>
    </w:p>
    <w:p>
      <w:pPr>
        <w:pStyle w:val="Normal"/>
        <w:spacing w:beforeAutospacing="1" w:afterAutospacing="1"/>
        <w:ind w:firstLine="708"/>
        <w:rPr>
          <w:rFonts w:eastAsia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eastAsia="ru-RU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  <w:lang w:eastAsia="ru-RU"/>
        </w:rPr>
        <w:t>Повышение квалификации по всем программам учебного центра ЗАО «РАЦ» предназначено для следующих категорий работников:</w:t>
      </w:r>
    </w:p>
    <w:p>
      <w:pPr>
        <w:pStyle w:val="Normal"/>
        <w:numPr>
          <w:ilvl w:val="0"/>
          <w:numId w:val="2"/>
        </w:numPr>
        <w:spacing w:beforeAutospacing="1" w:after="0"/>
        <w:rPr>
          <w:rFonts w:eastAsia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eastAsia="ru-RU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  <w:lang w:eastAsia="ru-RU"/>
        </w:rPr>
        <w:t>руководителей организаций различной ведомственной принадлежности, организационно-правовой формы собственности и профиля деятельности;</w:t>
      </w:r>
    </w:p>
    <w:p>
      <w:pPr>
        <w:pStyle w:val="Normal"/>
        <w:numPr>
          <w:ilvl w:val="0"/>
          <w:numId w:val="2"/>
        </w:numPr>
        <w:spacing w:before="0" w:after="0"/>
        <w:rPr>
          <w:rFonts w:eastAsia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eastAsia="ru-RU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  <w:lang w:eastAsia="ru-RU"/>
        </w:rPr>
        <w:t>заместителей руководителей организаций, ответственных за защиту сведений, составляющих государственную тайну, руководителей служб безопасности и руководителей структурных подразделений по защите государственной тайны;</w:t>
      </w:r>
    </w:p>
    <w:p>
      <w:pPr>
        <w:pStyle w:val="Normal"/>
        <w:numPr>
          <w:ilvl w:val="0"/>
          <w:numId w:val="2"/>
        </w:numPr>
        <w:spacing w:before="0" w:after="0"/>
        <w:rPr>
          <w:color w:val="000000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  <w:lang w:eastAsia="ru-RU"/>
        </w:rPr>
        <w:t>сотрудников структурных подразделений по защите государственной тайны;</w:t>
      </w:r>
    </w:p>
    <w:p>
      <w:pPr>
        <w:pStyle w:val="Normal"/>
        <w:numPr>
          <w:ilvl w:val="0"/>
          <w:numId w:val="2"/>
        </w:numPr>
        <w:spacing w:before="0" w:afterAutospacing="1"/>
        <w:rPr>
          <w:color w:val="CE181E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  <w:lang w:eastAsia="ru-RU"/>
        </w:rPr>
        <w:t>сотрудников в должностные (функциональные) обязанности которых входит работа с государственной тайной.</w:t>
      </w:r>
    </w:p>
    <w:p>
      <w:pPr>
        <w:pStyle w:val="Normal"/>
        <w:spacing w:beforeAutospacing="1" w:afterAutospacing="1"/>
        <w:ind w:firstLine="708"/>
        <w:rPr>
          <w:rFonts w:eastAsia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eastAsia="ru-RU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  <w:lang w:eastAsia="ru-RU"/>
        </w:rPr>
      </w:r>
    </w:p>
    <w:p>
      <w:pPr>
        <w:pStyle w:val="Normal"/>
        <w:spacing w:beforeAutospacing="1" w:afterAutospacing="1"/>
        <w:ind w:firstLine="708"/>
        <w:rPr>
          <w:color w:val="000000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  <w:lang w:eastAsia="ru-RU"/>
        </w:rPr>
        <w:t>В шапке на главной странице:</w:t>
      </w:r>
    </w:p>
    <w:p>
      <w:pPr>
        <w:pStyle w:val="Normal"/>
        <w:spacing w:beforeAutospacing="1" w:afterAutospacing="1"/>
        <w:ind w:firstLine="708"/>
        <w:rPr>
          <w:color w:val="CE181E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  <w:lang w:eastAsia="ru-RU"/>
        </w:rPr>
        <w:t>обучение по дополнительным профессиональным программам повышения квалификации в области защиты государственной тайны</w:t>
      </w:r>
    </w:p>
    <w:p>
      <w:pPr>
        <w:pStyle w:val="Normal"/>
        <w:spacing w:beforeAutospacing="1" w:afterAutospacing="1"/>
        <w:ind w:firstLine="708"/>
        <w:rPr>
          <w:rFonts w:eastAsia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eastAsia="ru-RU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  <w:lang w:eastAsia="ru-RU"/>
        </w:rPr>
      </w:r>
    </w:p>
    <w:p>
      <w:pPr>
        <w:pStyle w:val="Normal"/>
        <w:spacing w:beforeAutospacing="1" w:afterAutospacing="1"/>
        <w:ind w:firstLine="708"/>
        <w:rPr>
          <w:rFonts w:eastAsia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eastAsia="ru-RU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  <w:lang w:eastAsia="ru-RU"/>
        </w:rPr>
        <w:t>По окончании обучения слушателям выдаётся удостоверение о повышении квалификации, предусмотренное действующим законодательством РФ.</w:t>
      </w:r>
    </w:p>
    <w:p>
      <w:pPr>
        <w:pStyle w:val="Normal"/>
        <w:numPr>
          <w:ilvl w:val="0"/>
          <w:numId w:val="0"/>
        </w:numPr>
        <w:spacing w:beforeAutospacing="1" w:afterAutospacing="1"/>
        <w:ind w:firstLine="708"/>
        <w:outlineLvl w:val="3"/>
        <w:rPr>
          <w:rFonts w:eastAsia="Times New Roman"/>
          <w:i w:val="false"/>
          <w:i w:val="false"/>
          <w:iCs w:val="false"/>
          <w:sz w:val="24"/>
          <w:szCs w:val="24"/>
          <w:lang w:eastAsia="ru-RU"/>
        </w:rPr>
      </w:pPr>
      <w:r>
        <w:rPr>
          <w:rFonts w:eastAsia="Times New Roman"/>
          <w:i w:val="false"/>
          <w:iCs w:val="false"/>
          <w:color w:val="000000"/>
          <w:sz w:val="24"/>
          <w:szCs w:val="24"/>
          <w:lang w:eastAsia="ru-RU"/>
        </w:rPr>
        <w:t>Порядок комплектования групп:</w:t>
      </w:r>
    </w:p>
    <w:p>
      <w:pPr>
        <w:pStyle w:val="Normal"/>
        <w:jc w:val="left"/>
        <w:rPr/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  <w:lang w:eastAsia="ru-RU"/>
        </w:rPr>
        <w:t xml:space="preserve">Для обучения необходимо заполнить заявку и отправить ее на электронную почту: </w:t>
      </w:r>
      <w:hyperlink r:id="rId3">
        <w:r>
          <w:rPr>
            <w:rStyle w:val="Style12"/>
            <w:bCs w:val="false"/>
            <w:i w:val="false"/>
            <w:iCs w:val="false"/>
            <w:color w:val="000000"/>
            <w:sz w:val="22"/>
            <w:szCs w:val="22"/>
          </w:rPr>
          <w:t>1</w:t>
        </w:r>
        <w:r>
          <w:rPr>
            <w:rStyle w:val="Style12"/>
            <w:bCs w:val="false"/>
            <w:i w:val="false"/>
            <w:iCs w:val="false"/>
            <w:color w:val="000000"/>
            <w:sz w:val="22"/>
            <w:szCs w:val="22"/>
          </w:rPr>
          <w:t>5</w:t>
        </w:r>
        <w:r>
          <w:rPr>
            <w:rStyle w:val="Style12"/>
            <w:bCs w:val="false"/>
            <w:i w:val="false"/>
            <w:iCs w:val="false"/>
            <w:color w:val="000000"/>
            <w:sz w:val="22"/>
            <w:szCs w:val="22"/>
          </w:rPr>
          <w:t>@</w:t>
        </w:r>
        <w:r>
          <w:rPr>
            <w:rStyle w:val="Style12"/>
            <w:bCs w:val="false"/>
            <w:i w:val="false"/>
            <w:iCs w:val="false"/>
            <w:color w:val="000000"/>
            <w:sz w:val="22"/>
            <w:szCs w:val="22"/>
            <w:lang w:val="en-US"/>
          </w:rPr>
          <w:t>tzi</w:t>
        </w:r>
        <w:r>
          <w:rPr>
            <w:rStyle w:val="Style12"/>
            <w:bCs w:val="false"/>
            <w:i w:val="false"/>
            <w:iCs w:val="false"/>
            <w:color w:val="000000"/>
            <w:sz w:val="22"/>
            <w:szCs w:val="22"/>
          </w:rPr>
          <w:t>73.</w:t>
        </w:r>
        <w:r>
          <w:rPr>
            <w:rStyle w:val="Style12"/>
            <w:bCs w:val="false"/>
            <w:i w:val="false"/>
            <w:iCs w:val="false"/>
            <w:color w:val="000000"/>
            <w:sz w:val="22"/>
            <w:szCs w:val="22"/>
            <w:lang w:val="en-US"/>
          </w:rPr>
          <w:t>ru</w:t>
        </w:r>
      </w:hyperlink>
      <w:r>
        <w:rPr>
          <w:rFonts w:eastAsia="Times New Roman"/>
          <w:bCs w:val="false"/>
          <w:i w:val="false"/>
          <w:iCs w:val="false"/>
          <w:color w:val="000000"/>
          <w:sz w:val="24"/>
          <w:szCs w:val="24"/>
          <w:lang w:eastAsia="ru-RU"/>
        </w:rPr>
        <w:t xml:space="preserve">. </w:t>
      </w:r>
    </w:p>
    <w:p>
      <w:pPr>
        <w:pStyle w:val="Normal"/>
        <w:jc w:val="left"/>
        <w:rPr>
          <w:rFonts w:eastAsia="Times New Roman"/>
          <w:bCs w:val="false"/>
          <w:i w:val="false"/>
          <w:i w:val="false"/>
          <w:iCs w:val="false"/>
          <w:color w:val="000000"/>
          <w:sz w:val="24"/>
          <w:szCs w:val="24"/>
          <w:lang w:eastAsia="ru-RU"/>
        </w:rPr>
      </w:pPr>
      <w:r>
        <w:rPr>
          <w:rFonts w:eastAsia="Times New Roman"/>
          <w:bCs w:val="false"/>
          <w:i w:val="false"/>
          <w:iCs w:val="false"/>
          <w:color w:val="000000"/>
          <w:sz w:val="24"/>
          <w:szCs w:val="24"/>
          <w:lang w:eastAsia="ru-RU"/>
        </w:rPr>
      </w:r>
    </w:p>
    <w:p>
      <w:pPr>
        <w:pStyle w:val="Normal"/>
        <w:jc w:val="left"/>
        <w:rPr>
          <w:rFonts w:eastAsia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eastAsia="ru-RU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  <w:lang w:eastAsia="ru-RU"/>
        </w:rPr>
        <w:t xml:space="preserve">(Заявки принимаются не позднее, чем за 10 рабочих дней до начала обучения). </w:t>
      </w:r>
    </w:p>
    <w:p>
      <w:pPr>
        <w:pStyle w:val="Normal"/>
        <w:jc w:val="left"/>
        <w:rPr>
          <w:rFonts w:eastAsia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eastAsia="ru-RU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  <w:lang w:eastAsia="ru-RU"/>
        </w:rPr>
      </w:r>
    </w:p>
    <w:p>
      <w:pPr>
        <w:pStyle w:val="Normal"/>
        <w:ind w:firstLine="709"/>
        <w:rPr>
          <w:rFonts w:eastAsia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eastAsia="ru-RU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  <w:lang w:eastAsia="ru-RU"/>
        </w:rPr>
        <w:t>После получения заявки заключается договор с организацией на обучение и выставляется счет для оплаты. Оригиналы договора и счета могут быть направлены почтой или переданы нарочным. По окончании обучения оформляется акт оказанных услуг.</w:t>
      </w:r>
    </w:p>
    <w:p>
      <w:pPr>
        <w:pStyle w:val="Normal"/>
        <w:spacing w:beforeAutospacing="1" w:afterAutospacing="1"/>
        <w:jc w:val="left"/>
        <w:rPr>
          <w:rFonts w:eastAsia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eastAsia="ru-RU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  <w:lang w:eastAsia="ru-RU"/>
        </w:rPr>
        <w:t xml:space="preserve">Место проведения обучения: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432018, г. Ульяновск, ул. Самарская, д. 175</w:t>
      </w: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  <w:lang w:eastAsia="ru-RU"/>
        </w:rPr>
        <w:t>.</w:t>
      </w:r>
    </w:p>
    <w:p>
      <w:pPr>
        <w:pStyle w:val="Normal"/>
        <w:spacing w:beforeAutospacing="1" w:afterAutospacing="1"/>
        <w:jc w:val="left"/>
        <w:rPr>
          <w:rFonts w:eastAsia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eastAsia="ru-RU"/>
        </w:rPr>
      </w:pPr>
      <w:r>
        <w:rPr>
          <w:color w:val="000000"/>
        </w:rPr>
      </w:r>
    </w:p>
    <w:p>
      <w:pPr>
        <w:pStyle w:val="Normal"/>
        <w:spacing w:beforeAutospacing="1" w:afterAutospacing="1"/>
        <w:jc w:val="left"/>
        <w:rPr>
          <w:rFonts w:eastAsia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eastAsia="ru-RU"/>
        </w:rPr>
      </w:pPr>
      <w:r>
        <w:rPr>
          <w:color w:val="000000"/>
        </w:rPr>
      </w:r>
    </w:p>
    <w:p>
      <w:pPr>
        <w:pStyle w:val="Normal"/>
        <w:spacing w:beforeAutospacing="1" w:afterAutospacing="1"/>
        <w:jc w:val="left"/>
        <w:rPr>
          <w:rFonts w:eastAsia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eastAsia="ru-RU"/>
        </w:rPr>
      </w:pPr>
      <w:r>
        <w:rPr>
          <w:color w:val="000000"/>
        </w:rPr>
      </w:r>
    </w:p>
    <w:p>
      <w:pPr>
        <w:pStyle w:val="Normal"/>
        <w:spacing w:beforeAutospacing="1" w:afterAutospacing="1"/>
        <w:jc w:val="left"/>
        <w:rPr>
          <w:rFonts w:eastAsia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eastAsia="ru-RU"/>
        </w:rPr>
      </w:pPr>
      <w:r>
        <w:rPr>
          <w:color w:val="000000"/>
        </w:rPr>
      </w:r>
    </w:p>
    <w:p>
      <w:pPr>
        <w:pStyle w:val="Normal"/>
        <w:spacing w:beforeAutospacing="1" w:afterAutospacing="1"/>
        <w:jc w:val="left"/>
        <w:rPr>
          <w:rFonts w:eastAsia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eastAsia="ru-RU"/>
        </w:rPr>
      </w:pPr>
      <w:r>
        <w:rPr>
          <w:color w:val="000000"/>
        </w:rPr>
      </w:r>
    </w:p>
    <w:p>
      <w:pPr>
        <w:pStyle w:val="Normal"/>
        <w:spacing w:beforeAutospacing="1" w:afterAutospacing="1"/>
        <w:jc w:val="left"/>
        <w:rPr>
          <w:rFonts w:eastAsia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eastAsia="ru-RU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  <w:lang w:eastAsia="ru-RU"/>
        </w:rPr>
        <w:t>Распорядок учебного дня:</w:t>
      </w:r>
    </w:p>
    <w:tbl>
      <w:tblPr>
        <w:tblW w:w="4000" w:type="pct"/>
        <w:jc w:val="center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4811"/>
        <w:gridCol w:w="2671"/>
      </w:tblGrid>
      <w:tr>
        <w:trPr/>
        <w:tc>
          <w:tcPr>
            <w:tcW w:w="48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lang w:eastAsia="ru-RU"/>
              </w:rPr>
              <w:t>Первая учебная пара</w:t>
            </w:r>
          </w:p>
        </w:tc>
        <w:tc>
          <w:tcPr>
            <w:tcW w:w="26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lang w:eastAsia="ru-RU"/>
              </w:rPr>
              <w:t>9:00 – 10:30</w:t>
            </w:r>
          </w:p>
        </w:tc>
      </w:tr>
      <w:tr>
        <w:trPr/>
        <w:tc>
          <w:tcPr>
            <w:tcW w:w="48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lang w:eastAsia="ru-RU"/>
              </w:rPr>
              <w:t>Вторая учебная пара</w:t>
            </w:r>
          </w:p>
        </w:tc>
        <w:tc>
          <w:tcPr>
            <w:tcW w:w="26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lang w:eastAsia="ru-RU"/>
              </w:rPr>
              <w:t>10:40 – 12:10</w:t>
            </w:r>
          </w:p>
        </w:tc>
      </w:tr>
      <w:tr>
        <w:trPr/>
        <w:tc>
          <w:tcPr>
            <w:tcW w:w="48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lang w:eastAsia="ru-RU"/>
              </w:rPr>
              <w:t>Третья учебная пара</w:t>
            </w:r>
          </w:p>
        </w:tc>
        <w:tc>
          <w:tcPr>
            <w:tcW w:w="26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lang w:eastAsia="ru-RU"/>
              </w:rPr>
              <w:t>12:20 - 13:50</w:t>
            </w:r>
          </w:p>
        </w:tc>
      </w:tr>
      <w:tr>
        <w:trPr/>
        <w:tc>
          <w:tcPr>
            <w:tcW w:w="48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lang w:eastAsia="ru-RU"/>
              </w:rPr>
              <w:t>Обеденный перерыв</w:t>
            </w:r>
          </w:p>
        </w:tc>
        <w:tc>
          <w:tcPr>
            <w:tcW w:w="26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lang w:eastAsia="ru-RU"/>
              </w:rPr>
              <w:t>13:50 - 14:30</w:t>
            </w:r>
          </w:p>
        </w:tc>
      </w:tr>
      <w:tr>
        <w:trPr/>
        <w:tc>
          <w:tcPr>
            <w:tcW w:w="48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lang w:eastAsia="ru-RU"/>
              </w:rPr>
              <w:t>Четвертая учебная пара</w:t>
            </w:r>
          </w:p>
        </w:tc>
        <w:tc>
          <w:tcPr>
            <w:tcW w:w="26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lang w:eastAsia="ru-RU"/>
              </w:rPr>
              <w:t>14:30 - 16:00</w:t>
            </w:r>
          </w:p>
        </w:tc>
      </w:tr>
      <w:tr>
        <w:trPr/>
        <w:tc>
          <w:tcPr>
            <w:tcW w:w="48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lang w:eastAsia="ru-RU"/>
              </w:rPr>
              <w:t>Пятая учебная пара</w:t>
            </w:r>
          </w:p>
        </w:tc>
        <w:tc>
          <w:tcPr>
            <w:tcW w:w="26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lang w:eastAsia="ru-RU"/>
              </w:rPr>
              <w:t>16:10 - 17:50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Контактное лицо: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Сорокина Татьяна Геннадиевна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, тел.: (8422)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73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-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09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-9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0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 (добавочный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120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),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(8422) 62-02-09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lang w:eastAsia="ru-RU"/>
        </w:rPr>
        <w:t xml:space="preserve">электронная почта: </w:t>
      </w:r>
      <w:hyperlink r:id="rId4">
        <w:r>
          <w:rPr>
            <w:rStyle w:val="Style12"/>
            <w:b w:val="false"/>
            <w:bCs w:val="false"/>
            <w:i w:val="false"/>
            <w:iCs w:val="false"/>
            <w:color w:val="000000"/>
            <w:sz w:val="24"/>
            <w:szCs w:val="24"/>
          </w:rPr>
          <w:t>1</w:t>
        </w:r>
        <w:r>
          <w:rPr>
            <w:rStyle w:val="Style12"/>
            <w:b w:val="false"/>
            <w:bCs w:val="false"/>
            <w:i w:val="false"/>
            <w:iCs w:val="false"/>
            <w:color w:val="000000"/>
            <w:sz w:val="24"/>
            <w:szCs w:val="24"/>
          </w:rPr>
          <w:t>5</w:t>
        </w:r>
        <w:r>
          <w:rPr>
            <w:rStyle w:val="Style12"/>
            <w:b w:val="false"/>
            <w:bCs w:val="false"/>
            <w:i w:val="false"/>
            <w:iCs w:val="false"/>
            <w:color w:val="000000"/>
            <w:sz w:val="24"/>
            <w:szCs w:val="24"/>
          </w:rPr>
          <w:t>@</w:t>
        </w:r>
        <w:r>
          <w:rPr>
            <w:rStyle w:val="Style12"/>
            <w:b w:val="false"/>
            <w:bCs w:val="false"/>
            <w:i w:val="false"/>
            <w:iCs w:val="false"/>
            <w:color w:val="000000"/>
            <w:sz w:val="24"/>
            <w:szCs w:val="24"/>
            <w:lang w:val="en-US"/>
          </w:rPr>
          <w:t>tzi</w:t>
        </w:r>
        <w:r>
          <w:rPr>
            <w:rStyle w:val="Style12"/>
            <w:b w:val="false"/>
            <w:bCs w:val="false"/>
            <w:i w:val="false"/>
            <w:iCs w:val="false"/>
            <w:color w:val="000000"/>
            <w:sz w:val="24"/>
            <w:szCs w:val="24"/>
          </w:rPr>
          <w:t>73.</w:t>
        </w:r>
        <w:r>
          <w:rPr>
            <w:rStyle w:val="Style12"/>
            <w:b w:val="false"/>
            <w:bCs w:val="false"/>
            <w:i w:val="false"/>
            <w:iCs w:val="false"/>
            <w:color w:val="000000"/>
            <w:sz w:val="24"/>
            <w:szCs w:val="24"/>
            <w:lang w:val="en-US"/>
          </w:rPr>
          <w:t>ru</w:t>
        </w:r>
      </w:hyperlink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  <w:lang w:eastAsia="ru-RU"/>
        </w:rPr>
        <w:br/>
        <w:br/>
      </w:r>
      <w:r>
        <w:rPr>
          <w:rFonts w:eastAsia="Times New Roman"/>
          <w:i w:val="false"/>
          <w:iCs w:val="false"/>
          <w:color w:val="000000"/>
          <w:sz w:val="24"/>
          <w:szCs w:val="24"/>
          <w:lang w:eastAsia="ru-RU"/>
        </w:rPr>
        <w:t xml:space="preserve">Стоимость обучения установлена </w:t>
      </w:r>
      <w:hyperlink r:id="rId5">
        <w:r>
          <w:rPr>
            <w:rStyle w:val="Style12"/>
            <w:i w:val="false"/>
            <w:iCs w:val="false"/>
            <w:color w:val="000000"/>
            <w:sz w:val="24"/>
            <w:szCs w:val="24"/>
            <w:u w:val="none"/>
          </w:rPr>
          <w:t>приказом директора от ____________ № ________</w:t>
        </w:r>
      </w:hyperlink>
      <w:r>
        <w:rPr>
          <w:i w:val="false"/>
          <w:iCs w:val="false"/>
          <w:color w:val="000000"/>
          <w:sz w:val="24"/>
          <w:szCs w:val="24"/>
        </w:rPr>
        <w:t xml:space="preserve"> </w:t>
      </w:r>
      <w:hyperlink r:id="rId6">
        <w:r>
          <w:rPr>
            <w:rStyle w:val="Style12"/>
            <w:i w:val="false"/>
            <w:iCs w:val="false"/>
            <w:color w:val="000000"/>
            <w:sz w:val="24"/>
            <w:szCs w:val="24"/>
            <w:u w:val="none"/>
          </w:rPr>
          <w:t>(Приказ об обучении на 2023 год)</w:t>
        </w:r>
      </w:hyperlink>
      <w:r>
        <w:rPr>
          <w:i w:val="false"/>
          <w:iCs w:val="false"/>
          <w:color w:val="000000"/>
          <w:sz w:val="24"/>
          <w:szCs w:val="24"/>
        </w:rPr>
        <w:t xml:space="preserve">, </w:t>
      </w:r>
      <w:r>
        <w:rPr>
          <w:rFonts w:eastAsia="Times New Roman"/>
          <w:i w:val="false"/>
          <w:iCs w:val="false"/>
          <w:color w:val="000000"/>
          <w:sz w:val="24"/>
          <w:szCs w:val="24"/>
          <w:lang w:eastAsia="ru-RU"/>
        </w:rPr>
        <w:t>по программам:</w:t>
      </w: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  <w:lang w:eastAsia="ru-RU"/>
        </w:rPr>
        <w:br/>
      </w:r>
    </w:p>
    <w:p>
      <w:pPr>
        <w:pStyle w:val="ListParagraph"/>
        <w:numPr>
          <w:ilvl w:val="0"/>
          <w:numId w:val="8"/>
        </w:numPr>
        <w:ind w:left="714" w:hanging="357"/>
        <w:jc w:val="left"/>
        <w:rPr>
          <w:color w:val="000000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  <w:lang w:eastAsia="ru-RU"/>
        </w:rPr>
        <w:t>«Организация проведения работ по защите государственной тайны в организации (72 часа) – 4</w:t>
      </w: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  <w:lang w:eastAsia="ru-RU"/>
        </w:rPr>
        <w:t>5</w:t>
      </w: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  <w:lang w:eastAsia="ru-RU"/>
        </w:rPr>
        <w:t xml:space="preserve"> 000 руб.;</w:t>
      </w:r>
    </w:p>
    <w:p>
      <w:pPr>
        <w:pStyle w:val="ListParagraph"/>
        <w:numPr>
          <w:ilvl w:val="0"/>
          <w:numId w:val="8"/>
        </w:numPr>
        <w:ind w:left="714" w:hanging="357"/>
        <w:jc w:val="left"/>
        <w:rPr>
          <w:color w:val="000000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  <w:lang w:eastAsia="ru-RU"/>
        </w:rPr>
        <w:t xml:space="preserve">«Защита государственной тайны» (24 часа) – </w:t>
      </w: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  <w:lang w:eastAsia="ru-RU"/>
        </w:rPr>
        <w:t>20</w:t>
      </w: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  <w:lang w:eastAsia="ru-RU"/>
        </w:rPr>
        <w:t xml:space="preserve"> 000 руб.;</w:t>
      </w:r>
    </w:p>
    <w:p>
      <w:pPr>
        <w:pStyle w:val="ListParagraph"/>
        <w:numPr>
          <w:ilvl w:val="0"/>
          <w:numId w:val="8"/>
        </w:numPr>
        <w:ind w:left="714" w:hanging="357"/>
        <w:jc w:val="left"/>
        <w:rPr>
          <w:color w:val="000000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  <w:lang w:eastAsia="ru-RU"/>
        </w:rPr>
        <w:t>«Обеспечение защиты государственной тайны в организации» (201 час) – 9</w:t>
      </w: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  <w:lang w:eastAsia="ru-RU"/>
        </w:rPr>
        <w:t>8</w:t>
      </w: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  <w:lang w:eastAsia="ru-RU"/>
        </w:rPr>
        <w:t xml:space="preserve"> 000 руб. за одного слушателя. </w:t>
      </w:r>
    </w:p>
    <w:p>
      <w:pPr>
        <w:pStyle w:val="Normal"/>
        <w:jc w:val="left"/>
        <w:rPr>
          <w:rFonts w:eastAsia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eastAsia="ru-RU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  <w:lang w:eastAsia="ru-RU"/>
        </w:rPr>
      </w:r>
    </w:p>
    <w:p>
      <w:pPr>
        <w:pStyle w:val="Normal"/>
        <w:jc w:val="left"/>
        <w:rPr>
          <w:rFonts w:eastAsia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eastAsia="ru-RU"/>
        </w:rPr>
      </w:pPr>
      <w:r>
        <w:rPr>
          <w:rFonts w:eastAsia="Times New Roman"/>
          <w:i w:val="false"/>
          <w:iCs w:val="false"/>
          <w:color w:val="000000"/>
          <w:sz w:val="24"/>
          <w:szCs w:val="24"/>
          <w:lang w:eastAsia="ru-RU"/>
        </w:rPr>
        <w:t>Организованное питание слушателей не предусмотрено.</w:t>
      </w: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  <w:lang w:eastAsia="ru-RU"/>
        </w:rPr>
        <w:t xml:space="preserve"> </w:t>
      </w:r>
    </w:p>
    <w:p>
      <w:pPr>
        <w:pStyle w:val="Normal"/>
        <w:jc w:val="left"/>
        <w:rPr>
          <w:rFonts w:eastAsia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eastAsia="ru-RU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  <w:lang w:eastAsia="ru-RU"/>
        </w:rPr>
      </w:r>
    </w:p>
    <w:p>
      <w:pPr>
        <w:pStyle w:val="Normal"/>
        <w:jc w:val="left"/>
        <w:rPr>
          <w:rFonts w:eastAsia="Times New Roman"/>
          <w:i w:val="false"/>
          <w:i w:val="false"/>
          <w:iCs w:val="false"/>
          <w:sz w:val="24"/>
          <w:szCs w:val="24"/>
          <w:lang w:eastAsia="ru-RU"/>
        </w:rPr>
      </w:pPr>
      <w:r>
        <w:rPr>
          <w:rFonts w:eastAsia="Times New Roman"/>
          <w:i w:val="false"/>
          <w:iCs w:val="false"/>
          <w:color w:val="000000"/>
          <w:sz w:val="24"/>
          <w:szCs w:val="24"/>
          <w:lang w:eastAsia="ru-RU"/>
        </w:rPr>
        <w:t> </w:t>
      </w:r>
      <w:r>
        <w:rPr>
          <w:rFonts w:eastAsia="Times New Roman"/>
          <w:i w:val="false"/>
          <w:iCs w:val="false"/>
          <w:color w:val="000000"/>
          <w:sz w:val="24"/>
          <w:szCs w:val="24"/>
          <w:lang w:eastAsia="ru-RU"/>
        </w:rPr>
        <w:t>Прибывающий слушатель должен иметь: </w:t>
      </w:r>
    </w:p>
    <w:p>
      <w:pPr>
        <w:pStyle w:val="Normal"/>
        <w:numPr>
          <w:ilvl w:val="0"/>
          <w:numId w:val="3"/>
        </w:numPr>
        <w:jc w:val="left"/>
        <w:rPr>
          <w:rFonts w:eastAsia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eastAsia="ru-RU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  <w:lang w:eastAsia="ru-RU"/>
        </w:rPr>
        <w:t>Паспорт гражданина Российской Федерации и его копию;</w:t>
      </w:r>
    </w:p>
    <w:p>
      <w:pPr>
        <w:pStyle w:val="Normal"/>
        <w:numPr>
          <w:ilvl w:val="0"/>
          <w:numId w:val="3"/>
        </w:numPr>
        <w:jc w:val="left"/>
        <w:rPr>
          <w:rFonts w:eastAsia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eastAsia="ru-RU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Копию документа об образовании</w:t>
      </w:r>
    </w:p>
    <w:p>
      <w:pPr>
        <w:pStyle w:val="Normal"/>
        <w:numPr>
          <w:ilvl w:val="0"/>
          <w:numId w:val="4"/>
        </w:numPr>
        <w:jc w:val="left"/>
        <w:rPr>
          <w:rFonts w:eastAsia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eastAsia="ru-RU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  <w:lang w:eastAsia="ru-RU"/>
        </w:rPr>
        <w:t>Справку о допуске к государственной тайне установленной формы;</w:t>
      </w:r>
    </w:p>
    <w:p>
      <w:pPr>
        <w:pStyle w:val="Normal"/>
        <w:numPr>
          <w:ilvl w:val="0"/>
          <w:numId w:val="5"/>
        </w:numPr>
        <w:jc w:val="left"/>
        <w:rPr>
          <w:rFonts w:eastAsia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eastAsia="ru-RU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  <w:lang w:eastAsia="ru-RU"/>
        </w:rPr>
        <w:t>Предписание на выполнение задания;</w:t>
      </w:r>
    </w:p>
    <w:p>
      <w:pPr>
        <w:pStyle w:val="Normal"/>
        <w:numPr>
          <w:ilvl w:val="0"/>
          <w:numId w:val="6"/>
        </w:numPr>
        <w:jc w:val="left"/>
        <w:rPr>
          <w:color w:val="000000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  <w:lang w:eastAsia="ru-RU"/>
        </w:rPr>
        <w:t>Договор, копию платежного поручения об оплате;</w:t>
      </w:r>
    </w:p>
    <w:p>
      <w:pPr>
        <w:pStyle w:val="Normal"/>
        <w:rPr>
          <w:rFonts w:eastAsia="Times New Roman"/>
          <w:b w:val="false"/>
          <w:b w:val="false"/>
          <w:bCs w:val="false"/>
          <w:color w:val="000000"/>
          <w:sz w:val="24"/>
          <w:szCs w:val="24"/>
          <w:lang w:eastAsia="ru-RU"/>
        </w:rPr>
      </w:pPr>
      <w:r>
        <w:rPr>
          <w:rFonts w:eastAsia="Times New Roman"/>
          <w:b w:val="false"/>
          <w:bCs w:val="false"/>
          <w:color w:val="000000"/>
          <w:sz w:val="24"/>
          <w:szCs w:val="24"/>
          <w:lang w:eastAsia="ru-RU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sectPr>
      <w:type w:val="nextPage"/>
      <w:pgSz w:w="11906" w:h="16838"/>
      <w:pgMar w:left="1701" w:right="851" w:header="0" w:top="1021" w:footer="0" w:bottom="1021" w:gutter="0"/>
      <w:pgNumType w:fmt="decimal"/>
      <w:formProt w:val="false"/>
      <w:textDirection w:val="lrTb"/>
      <w:docGrid w:type="default" w:linePitch="38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default"/>
  </w:font>
  <w:font w:name="PT Astra Sans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sz w:val="24"/>
        <w:b w:val="false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b/>
        <w:bCs/>
        <w:i/>
        <w:iCs/>
        <w:szCs w:val="28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both"/>
    </w:pPr>
    <w:rPr>
      <w:rFonts w:ascii="Times New Roman" w:hAnsi="Times New Roman" w:eastAsia="Calibri" w:cs="Times New Roman" w:eastAsiaTheme="minorHAnsi"/>
      <w:b/>
      <w:bCs/>
      <w:i/>
      <w:iCs/>
      <w:color w:val="auto"/>
      <w:kern w:val="0"/>
      <w:sz w:val="28"/>
      <w:szCs w:val="28"/>
      <w:lang w:val="ru-RU" w:eastAsia="en-US" w:bidi="ar-SA"/>
    </w:rPr>
  </w:style>
  <w:style w:type="paragraph" w:styleId="4">
    <w:name w:val="Heading 4"/>
    <w:basedOn w:val="Normal"/>
    <w:link w:val="40"/>
    <w:uiPriority w:val="9"/>
    <w:qFormat/>
    <w:rsid w:val="002872b3"/>
    <w:pPr>
      <w:spacing w:beforeAutospacing="1" w:afterAutospacing="1"/>
      <w:jc w:val="left"/>
      <w:outlineLvl w:val="3"/>
    </w:pPr>
    <w:rPr>
      <w:rFonts w:eastAsia="Times New Roman"/>
      <w:i w:val="false"/>
      <w:iCs w:val="false"/>
      <w:sz w:val="24"/>
      <w:szCs w:val="24"/>
      <w:lang w:eastAsia="ru-RU"/>
    </w:rPr>
  </w:style>
  <w:style w:type="paragraph" w:styleId="5">
    <w:name w:val="Heading 5"/>
    <w:basedOn w:val="Normal"/>
    <w:link w:val="50"/>
    <w:uiPriority w:val="9"/>
    <w:qFormat/>
    <w:rsid w:val="002872b3"/>
    <w:pPr>
      <w:spacing w:beforeAutospacing="1" w:afterAutospacing="1"/>
      <w:jc w:val="left"/>
      <w:outlineLvl w:val="4"/>
    </w:pPr>
    <w:rPr>
      <w:rFonts w:eastAsia="Times New Roman"/>
      <w:i w:val="false"/>
      <w:iCs w:val="false"/>
      <w:sz w:val="20"/>
      <w:szCs w:val="20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1" w:customStyle="1">
    <w:name w:val="Заголовок 4 Знак"/>
    <w:basedOn w:val="DefaultParagraphFont"/>
    <w:link w:val="4"/>
    <w:uiPriority w:val="9"/>
    <w:qFormat/>
    <w:rsid w:val="002872b3"/>
    <w:rPr>
      <w:rFonts w:eastAsia="Times New Roman"/>
      <w:i w:val="false"/>
      <w:iCs w:val="false"/>
      <w:sz w:val="24"/>
      <w:szCs w:val="24"/>
      <w:lang w:eastAsia="ru-RU"/>
    </w:rPr>
  </w:style>
  <w:style w:type="character" w:styleId="51" w:customStyle="1">
    <w:name w:val="Заголовок 5 Знак"/>
    <w:basedOn w:val="DefaultParagraphFont"/>
    <w:link w:val="5"/>
    <w:uiPriority w:val="9"/>
    <w:qFormat/>
    <w:rsid w:val="002872b3"/>
    <w:rPr>
      <w:rFonts w:eastAsia="Times New Roman"/>
      <w:i w:val="false"/>
      <w:iCs w:val="false"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2872b3"/>
    <w:rPr>
      <w:b w:val="false"/>
      <w:bCs w:val="false"/>
    </w:rPr>
  </w:style>
  <w:style w:type="character" w:styleId="Style12">
    <w:name w:val="Интернет-ссылка"/>
    <w:basedOn w:val="DefaultParagraphFont"/>
    <w:uiPriority w:val="99"/>
    <w:unhideWhenUsed/>
    <w:rsid w:val="002872b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61208"/>
    <w:rPr>
      <w:color w:val="605E5C"/>
      <w:shd w:fill="E1DFDD" w:val="clear"/>
    </w:rPr>
  </w:style>
  <w:style w:type="character" w:styleId="Style13" w:customStyle="1">
    <w:name w:val="Основной текст Знак"/>
    <w:basedOn w:val="DefaultParagraphFont"/>
    <w:link w:val="a8"/>
    <w:qFormat/>
    <w:rsid w:val="001c6928"/>
    <w:rPr>
      <w:rFonts w:eastAsia="Times New Roman"/>
      <w:b w:val="false"/>
      <w:bCs w:val="false"/>
      <w:i w:val="false"/>
      <w:iCs w:val="false"/>
      <w:sz w:val="24"/>
      <w:szCs w:val="24"/>
      <w:lang w:eastAsia="ar-SA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b w:val="false"/>
      <w:sz w:val="24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b w:val="false"/>
      <w:sz w:val="24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b w:val="false"/>
      <w:sz w:val="24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b w:val="false"/>
      <w:sz w:val="24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b w:val="false"/>
      <w:sz w:val="24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b w:val="false"/>
      <w:sz w:val="24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b w:val="false"/>
      <w:bCs/>
      <w:sz w:val="24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eastAsia="Times New Roman"/>
      <w:b w:val="false"/>
      <w:bCs w:val="false"/>
      <w:i w:val="false"/>
      <w:iCs w:val="false"/>
      <w:color w:val="0000FF"/>
      <w:sz w:val="24"/>
      <w:szCs w:val="24"/>
      <w:u w:val="single"/>
      <w:lang w:eastAsia="ru-RU"/>
    </w:rPr>
  </w:style>
  <w:style w:type="character" w:styleId="ListLabel96">
    <w:name w:val="ListLabel 96"/>
    <w:qFormat/>
    <w:rPr>
      <w:bCs w:val="false"/>
      <w:i w:val="false"/>
      <w:iCs w:val="false"/>
      <w:sz w:val="22"/>
      <w:szCs w:val="22"/>
    </w:rPr>
  </w:style>
  <w:style w:type="character" w:styleId="ListLabel97">
    <w:name w:val="ListLabel 97"/>
    <w:qFormat/>
    <w:rPr>
      <w:bCs w:val="false"/>
      <w:i w:val="false"/>
      <w:iCs w:val="false"/>
      <w:sz w:val="22"/>
      <w:szCs w:val="22"/>
      <w:lang w:val="en-US"/>
    </w:rPr>
  </w:style>
  <w:style w:type="character" w:styleId="ListLabel98">
    <w:name w:val="ListLabel 98"/>
    <w:qFormat/>
    <w:rPr>
      <w:b w:val="false"/>
      <w:bCs w:val="false"/>
      <w:i w:val="false"/>
      <w:iCs w:val="false"/>
      <w:sz w:val="24"/>
      <w:szCs w:val="24"/>
    </w:rPr>
  </w:style>
  <w:style w:type="character" w:styleId="ListLabel99">
    <w:name w:val="ListLabel 99"/>
    <w:qFormat/>
    <w:rPr>
      <w:b w:val="false"/>
      <w:bCs w:val="false"/>
      <w:i w:val="false"/>
      <w:iCs w:val="false"/>
      <w:sz w:val="24"/>
      <w:szCs w:val="24"/>
      <w:lang w:val="en-US"/>
    </w:rPr>
  </w:style>
  <w:style w:type="character" w:styleId="ListLabel100">
    <w:name w:val="ListLabel 100"/>
    <w:qFormat/>
    <w:rPr>
      <w:i w:val="false"/>
      <w:iCs w:val="false"/>
      <w:color w:val="auto"/>
      <w:sz w:val="24"/>
      <w:szCs w:val="24"/>
      <w:u w:val="none"/>
    </w:rPr>
  </w:style>
  <w:style w:type="character" w:styleId="ListLabel101">
    <w:name w:val="ListLabel 101"/>
    <w:qFormat/>
    <w:rPr>
      <w:rFonts w:cs="Symbol"/>
      <w:b w:val="false"/>
      <w:sz w:val="24"/>
    </w:rPr>
  </w:style>
  <w:style w:type="character" w:styleId="ListLabel102">
    <w:name w:val="ListLabel 102"/>
    <w:qFormat/>
    <w:rPr>
      <w:rFonts w:cs="Courier New"/>
      <w:sz w:val="20"/>
    </w:rPr>
  </w:style>
  <w:style w:type="character" w:styleId="ListLabel103">
    <w:name w:val="ListLabel 103"/>
    <w:qFormat/>
    <w:rPr>
      <w:rFonts w:cs="Wingdings"/>
      <w:sz w:val="20"/>
    </w:rPr>
  </w:style>
  <w:style w:type="character" w:styleId="ListLabel104">
    <w:name w:val="ListLabel 104"/>
    <w:qFormat/>
    <w:rPr>
      <w:rFonts w:cs="Wingdings"/>
      <w:sz w:val="20"/>
    </w:rPr>
  </w:style>
  <w:style w:type="character" w:styleId="ListLabel105">
    <w:name w:val="ListLabel 105"/>
    <w:qFormat/>
    <w:rPr>
      <w:rFonts w:cs="Wingdings"/>
      <w:sz w:val="20"/>
    </w:rPr>
  </w:style>
  <w:style w:type="character" w:styleId="ListLabel106">
    <w:name w:val="ListLabel 106"/>
    <w:qFormat/>
    <w:rPr>
      <w:rFonts w:cs="Wingdings"/>
      <w:sz w:val="20"/>
    </w:rPr>
  </w:style>
  <w:style w:type="character" w:styleId="ListLabel107">
    <w:name w:val="ListLabel 107"/>
    <w:qFormat/>
    <w:rPr>
      <w:rFonts w:cs="Wingdings"/>
      <w:sz w:val="20"/>
    </w:rPr>
  </w:style>
  <w:style w:type="character" w:styleId="ListLabel108">
    <w:name w:val="ListLabel 108"/>
    <w:qFormat/>
    <w:rPr>
      <w:rFonts w:cs="Wingdings"/>
      <w:sz w:val="20"/>
    </w:rPr>
  </w:style>
  <w:style w:type="character" w:styleId="ListLabel109">
    <w:name w:val="ListLabel 109"/>
    <w:qFormat/>
    <w:rPr>
      <w:rFonts w:cs="Wingdings"/>
      <w:sz w:val="20"/>
    </w:rPr>
  </w:style>
  <w:style w:type="character" w:styleId="ListLabel110">
    <w:name w:val="ListLabel 110"/>
    <w:qFormat/>
    <w:rPr>
      <w:rFonts w:cs="Symbol"/>
      <w:b w:val="false"/>
      <w:sz w:val="24"/>
    </w:rPr>
  </w:style>
  <w:style w:type="character" w:styleId="ListLabel111">
    <w:name w:val="ListLabel 111"/>
    <w:qFormat/>
    <w:rPr>
      <w:rFonts w:cs="Courier New"/>
      <w:sz w:val="20"/>
    </w:rPr>
  </w:style>
  <w:style w:type="character" w:styleId="ListLabel112">
    <w:name w:val="ListLabel 112"/>
    <w:qFormat/>
    <w:rPr>
      <w:rFonts w:cs="Wingdings"/>
      <w:sz w:val="20"/>
    </w:rPr>
  </w:style>
  <w:style w:type="character" w:styleId="ListLabel113">
    <w:name w:val="ListLabel 113"/>
    <w:qFormat/>
    <w:rPr>
      <w:rFonts w:cs="Wingdings"/>
      <w:sz w:val="20"/>
    </w:rPr>
  </w:style>
  <w:style w:type="character" w:styleId="ListLabel114">
    <w:name w:val="ListLabel 114"/>
    <w:qFormat/>
    <w:rPr>
      <w:rFonts w:cs="Wingdings"/>
      <w:sz w:val="20"/>
    </w:rPr>
  </w:style>
  <w:style w:type="character" w:styleId="ListLabel115">
    <w:name w:val="ListLabel 115"/>
    <w:qFormat/>
    <w:rPr>
      <w:rFonts w:cs="Wingdings"/>
      <w:sz w:val="20"/>
    </w:rPr>
  </w:style>
  <w:style w:type="character" w:styleId="ListLabel116">
    <w:name w:val="ListLabel 116"/>
    <w:qFormat/>
    <w:rPr>
      <w:rFonts w:cs="Wingdings"/>
      <w:sz w:val="20"/>
    </w:rPr>
  </w:style>
  <w:style w:type="character" w:styleId="ListLabel117">
    <w:name w:val="ListLabel 117"/>
    <w:qFormat/>
    <w:rPr>
      <w:rFonts w:cs="Wingdings"/>
      <w:sz w:val="20"/>
    </w:rPr>
  </w:style>
  <w:style w:type="character" w:styleId="ListLabel118">
    <w:name w:val="ListLabel 118"/>
    <w:qFormat/>
    <w:rPr>
      <w:rFonts w:cs="Wingdings"/>
      <w:sz w:val="20"/>
    </w:rPr>
  </w:style>
  <w:style w:type="character" w:styleId="ListLabel119">
    <w:name w:val="ListLabel 119"/>
    <w:qFormat/>
    <w:rPr>
      <w:rFonts w:cs="Symbol"/>
      <w:b w:val="false"/>
      <w:sz w:val="24"/>
    </w:rPr>
  </w:style>
  <w:style w:type="character" w:styleId="ListLabel120">
    <w:name w:val="ListLabel 120"/>
    <w:qFormat/>
    <w:rPr>
      <w:rFonts w:cs="Courier New"/>
      <w:sz w:val="20"/>
    </w:rPr>
  </w:style>
  <w:style w:type="character" w:styleId="ListLabel121">
    <w:name w:val="ListLabel 121"/>
    <w:qFormat/>
    <w:rPr>
      <w:rFonts w:cs="Wingdings"/>
      <w:sz w:val="20"/>
    </w:rPr>
  </w:style>
  <w:style w:type="character" w:styleId="ListLabel122">
    <w:name w:val="ListLabel 122"/>
    <w:qFormat/>
    <w:rPr>
      <w:rFonts w:cs="Wingdings"/>
      <w:sz w:val="20"/>
    </w:rPr>
  </w:style>
  <w:style w:type="character" w:styleId="ListLabel123">
    <w:name w:val="ListLabel 123"/>
    <w:qFormat/>
    <w:rPr>
      <w:rFonts w:cs="Wingdings"/>
      <w:sz w:val="20"/>
    </w:rPr>
  </w:style>
  <w:style w:type="character" w:styleId="ListLabel124">
    <w:name w:val="ListLabel 124"/>
    <w:qFormat/>
    <w:rPr>
      <w:rFonts w:cs="Wingdings"/>
      <w:sz w:val="20"/>
    </w:rPr>
  </w:style>
  <w:style w:type="character" w:styleId="ListLabel125">
    <w:name w:val="ListLabel 125"/>
    <w:qFormat/>
    <w:rPr>
      <w:rFonts w:cs="Wingdings"/>
      <w:sz w:val="20"/>
    </w:rPr>
  </w:style>
  <w:style w:type="character" w:styleId="ListLabel126">
    <w:name w:val="ListLabel 126"/>
    <w:qFormat/>
    <w:rPr>
      <w:rFonts w:cs="Wingdings"/>
      <w:sz w:val="20"/>
    </w:rPr>
  </w:style>
  <w:style w:type="character" w:styleId="ListLabel127">
    <w:name w:val="ListLabel 127"/>
    <w:qFormat/>
    <w:rPr>
      <w:rFonts w:cs="Wingdings"/>
      <w:sz w:val="20"/>
    </w:rPr>
  </w:style>
  <w:style w:type="character" w:styleId="ListLabel128">
    <w:name w:val="ListLabel 128"/>
    <w:qFormat/>
    <w:rPr>
      <w:rFonts w:cs="Symbol"/>
      <w:b w:val="false"/>
      <w:sz w:val="24"/>
    </w:rPr>
  </w:style>
  <w:style w:type="character" w:styleId="ListLabel129">
    <w:name w:val="ListLabel 129"/>
    <w:qFormat/>
    <w:rPr>
      <w:rFonts w:cs="Courier New"/>
      <w:sz w:val="20"/>
    </w:rPr>
  </w:style>
  <w:style w:type="character" w:styleId="ListLabel130">
    <w:name w:val="ListLabel 130"/>
    <w:qFormat/>
    <w:rPr>
      <w:rFonts w:cs="Wingdings"/>
      <w:sz w:val="20"/>
    </w:rPr>
  </w:style>
  <w:style w:type="character" w:styleId="ListLabel131">
    <w:name w:val="ListLabel 131"/>
    <w:qFormat/>
    <w:rPr>
      <w:rFonts w:cs="Wingdings"/>
      <w:sz w:val="20"/>
    </w:rPr>
  </w:style>
  <w:style w:type="character" w:styleId="ListLabel132">
    <w:name w:val="ListLabel 132"/>
    <w:qFormat/>
    <w:rPr>
      <w:rFonts w:cs="Wingdings"/>
      <w:sz w:val="20"/>
    </w:rPr>
  </w:style>
  <w:style w:type="character" w:styleId="ListLabel133">
    <w:name w:val="ListLabel 133"/>
    <w:qFormat/>
    <w:rPr>
      <w:rFonts w:cs="Wingdings"/>
      <w:sz w:val="20"/>
    </w:rPr>
  </w:style>
  <w:style w:type="character" w:styleId="ListLabel134">
    <w:name w:val="ListLabel 134"/>
    <w:qFormat/>
    <w:rPr>
      <w:rFonts w:cs="Wingdings"/>
      <w:sz w:val="20"/>
    </w:rPr>
  </w:style>
  <w:style w:type="character" w:styleId="ListLabel135">
    <w:name w:val="ListLabel 135"/>
    <w:qFormat/>
    <w:rPr>
      <w:rFonts w:cs="Wingdings"/>
      <w:sz w:val="20"/>
    </w:rPr>
  </w:style>
  <w:style w:type="character" w:styleId="ListLabel136">
    <w:name w:val="ListLabel 136"/>
    <w:qFormat/>
    <w:rPr>
      <w:rFonts w:cs="Wingdings"/>
      <w:sz w:val="20"/>
    </w:rPr>
  </w:style>
  <w:style w:type="character" w:styleId="ListLabel137">
    <w:name w:val="ListLabel 137"/>
    <w:qFormat/>
    <w:rPr>
      <w:rFonts w:cs="Symbol"/>
      <w:b w:val="false"/>
      <w:sz w:val="24"/>
    </w:rPr>
  </w:style>
  <w:style w:type="character" w:styleId="ListLabel138">
    <w:name w:val="ListLabel 138"/>
    <w:qFormat/>
    <w:rPr>
      <w:rFonts w:cs="Courier New"/>
      <w:sz w:val="20"/>
    </w:rPr>
  </w:style>
  <w:style w:type="character" w:styleId="ListLabel139">
    <w:name w:val="ListLabel 139"/>
    <w:qFormat/>
    <w:rPr>
      <w:rFonts w:cs="Wingdings"/>
      <w:sz w:val="20"/>
    </w:rPr>
  </w:style>
  <w:style w:type="character" w:styleId="ListLabel140">
    <w:name w:val="ListLabel 140"/>
    <w:qFormat/>
    <w:rPr>
      <w:rFonts w:cs="Wingdings"/>
      <w:sz w:val="20"/>
    </w:rPr>
  </w:style>
  <w:style w:type="character" w:styleId="ListLabel141">
    <w:name w:val="ListLabel 141"/>
    <w:qFormat/>
    <w:rPr>
      <w:rFonts w:cs="Wingdings"/>
      <w:sz w:val="20"/>
    </w:rPr>
  </w:style>
  <w:style w:type="character" w:styleId="ListLabel142">
    <w:name w:val="ListLabel 142"/>
    <w:qFormat/>
    <w:rPr>
      <w:rFonts w:cs="Wingdings"/>
      <w:sz w:val="20"/>
    </w:rPr>
  </w:style>
  <w:style w:type="character" w:styleId="ListLabel143">
    <w:name w:val="ListLabel 143"/>
    <w:qFormat/>
    <w:rPr>
      <w:rFonts w:cs="Wingdings"/>
      <w:sz w:val="20"/>
    </w:rPr>
  </w:style>
  <w:style w:type="character" w:styleId="ListLabel144">
    <w:name w:val="ListLabel 144"/>
    <w:qFormat/>
    <w:rPr>
      <w:rFonts w:cs="Wingdings"/>
      <w:sz w:val="20"/>
    </w:rPr>
  </w:style>
  <w:style w:type="character" w:styleId="ListLabel145">
    <w:name w:val="ListLabel 145"/>
    <w:qFormat/>
    <w:rPr>
      <w:rFonts w:cs="Wingdings"/>
      <w:sz w:val="20"/>
    </w:rPr>
  </w:style>
  <w:style w:type="character" w:styleId="ListLabel146">
    <w:name w:val="ListLabel 146"/>
    <w:qFormat/>
    <w:rPr>
      <w:rFonts w:cs="Symbol"/>
      <w:b w:val="false"/>
      <w:sz w:val="24"/>
    </w:rPr>
  </w:style>
  <w:style w:type="character" w:styleId="ListLabel147">
    <w:name w:val="ListLabel 147"/>
    <w:qFormat/>
    <w:rPr>
      <w:rFonts w:cs="Courier New"/>
      <w:sz w:val="20"/>
    </w:rPr>
  </w:style>
  <w:style w:type="character" w:styleId="ListLabel148">
    <w:name w:val="ListLabel 148"/>
    <w:qFormat/>
    <w:rPr>
      <w:rFonts w:cs="Wingdings"/>
      <w:sz w:val="20"/>
    </w:rPr>
  </w:style>
  <w:style w:type="character" w:styleId="ListLabel149">
    <w:name w:val="ListLabel 149"/>
    <w:qFormat/>
    <w:rPr>
      <w:rFonts w:cs="Wingdings"/>
      <w:sz w:val="20"/>
    </w:rPr>
  </w:style>
  <w:style w:type="character" w:styleId="ListLabel150">
    <w:name w:val="ListLabel 150"/>
    <w:qFormat/>
    <w:rPr>
      <w:rFonts w:cs="Wingdings"/>
      <w:sz w:val="20"/>
    </w:rPr>
  </w:style>
  <w:style w:type="character" w:styleId="ListLabel151">
    <w:name w:val="ListLabel 151"/>
    <w:qFormat/>
    <w:rPr>
      <w:rFonts w:cs="Wingdings"/>
      <w:sz w:val="20"/>
    </w:rPr>
  </w:style>
  <w:style w:type="character" w:styleId="ListLabel152">
    <w:name w:val="ListLabel 152"/>
    <w:qFormat/>
    <w:rPr>
      <w:rFonts w:cs="Wingdings"/>
      <w:sz w:val="20"/>
    </w:rPr>
  </w:style>
  <w:style w:type="character" w:styleId="ListLabel153">
    <w:name w:val="ListLabel 153"/>
    <w:qFormat/>
    <w:rPr>
      <w:rFonts w:cs="Wingdings"/>
      <w:sz w:val="20"/>
    </w:rPr>
  </w:style>
  <w:style w:type="character" w:styleId="ListLabel154">
    <w:name w:val="ListLabel 154"/>
    <w:qFormat/>
    <w:rPr>
      <w:rFonts w:cs="Wingdings"/>
      <w:sz w:val="20"/>
    </w:rPr>
  </w:style>
  <w:style w:type="character" w:styleId="ListLabel155">
    <w:name w:val="ListLabel 155"/>
    <w:qFormat/>
    <w:rPr>
      <w:b w:val="false"/>
      <w:bCs/>
      <w:sz w:val="24"/>
    </w:rPr>
  </w:style>
  <w:style w:type="character" w:styleId="ListLabel156">
    <w:name w:val="ListLabel 156"/>
    <w:qFormat/>
    <w:rPr>
      <w:rFonts w:cs="Symbol"/>
      <w:b w:val="false"/>
      <w:sz w:val="24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Symbol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eastAsia="Times New Roman"/>
      <w:b w:val="false"/>
      <w:bCs w:val="false"/>
      <w:i w:val="false"/>
      <w:iCs w:val="false"/>
      <w:color w:val="0000FF"/>
      <w:sz w:val="24"/>
      <w:szCs w:val="24"/>
      <w:u w:val="single"/>
      <w:lang w:eastAsia="ru-RU"/>
    </w:rPr>
  </w:style>
  <w:style w:type="character" w:styleId="ListLabel166">
    <w:name w:val="ListLabel 166"/>
    <w:qFormat/>
    <w:rPr>
      <w:bCs w:val="false"/>
      <w:i w:val="false"/>
      <w:iCs w:val="false"/>
      <w:sz w:val="22"/>
      <w:szCs w:val="22"/>
    </w:rPr>
  </w:style>
  <w:style w:type="character" w:styleId="ListLabel167">
    <w:name w:val="ListLabel 167"/>
    <w:qFormat/>
    <w:rPr>
      <w:bCs w:val="false"/>
      <w:i w:val="false"/>
      <w:iCs w:val="false"/>
      <w:sz w:val="22"/>
      <w:szCs w:val="22"/>
      <w:lang w:val="en-US"/>
    </w:rPr>
  </w:style>
  <w:style w:type="character" w:styleId="ListLabel168">
    <w:name w:val="ListLabel 168"/>
    <w:qFormat/>
    <w:rPr>
      <w:b w:val="false"/>
      <w:bCs w:val="false"/>
      <w:i w:val="false"/>
      <w:iCs w:val="false"/>
      <w:sz w:val="24"/>
      <w:szCs w:val="24"/>
    </w:rPr>
  </w:style>
  <w:style w:type="character" w:styleId="ListLabel169">
    <w:name w:val="ListLabel 169"/>
    <w:qFormat/>
    <w:rPr>
      <w:b w:val="false"/>
      <w:bCs w:val="false"/>
      <w:i w:val="false"/>
      <w:iCs w:val="false"/>
      <w:sz w:val="24"/>
      <w:szCs w:val="24"/>
      <w:lang w:val="en-US"/>
    </w:rPr>
  </w:style>
  <w:style w:type="character" w:styleId="ListLabel170">
    <w:name w:val="ListLabel 170"/>
    <w:qFormat/>
    <w:rPr>
      <w:i w:val="false"/>
      <w:iCs w:val="false"/>
      <w:color w:val="auto"/>
      <w:sz w:val="24"/>
      <w:szCs w:val="24"/>
      <w:u w:val="none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PT Astra Sans" w:hAnsi="PT Astra Sans" w:eastAsia="Noto Sans CJK SC Regular" w:cs="Lohit Devanagari"/>
      <w:sz w:val="28"/>
      <w:szCs w:val="28"/>
    </w:rPr>
  </w:style>
  <w:style w:type="paragraph" w:styleId="Style15">
    <w:name w:val="Body Text"/>
    <w:basedOn w:val="Normal"/>
    <w:link w:val="a9"/>
    <w:rsid w:val="001c6928"/>
    <w:pPr>
      <w:suppressAutoHyphens w:val="true"/>
      <w:spacing w:before="0" w:after="120"/>
      <w:jc w:val="left"/>
    </w:pPr>
    <w:rPr>
      <w:rFonts w:eastAsia="Times New Roman"/>
      <w:b w:val="false"/>
      <w:bCs w:val="false"/>
      <w:i w:val="false"/>
      <w:iCs w:val="false"/>
      <w:sz w:val="24"/>
      <w:szCs w:val="24"/>
      <w:lang w:eastAsia="ar-SA"/>
    </w:rPr>
  </w:style>
  <w:style w:type="paragraph" w:styleId="Style16">
    <w:name w:val="List"/>
    <w:basedOn w:val="Style15"/>
    <w:pPr/>
    <w:rPr>
      <w:rFonts w:ascii="PT Astra Sans" w:hAnsi="PT Astra Sans"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PT Astra Sans" w:hAnsi="PT Astra Sans"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ascii="PT Astra Sans" w:hAnsi="PT Astra Sans" w:cs="Lohit Devanagari"/>
    </w:rPr>
  </w:style>
  <w:style w:type="paragraph" w:styleId="Alignjustify" w:customStyle="1">
    <w:name w:val="align-justify"/>
    <w:basedOn w:val="Normal"/>
    <w:qFormat/>
    <w:rsid w:val="002872b3"/>
    <w:pPr>
      <w:spacing w:beforeAutospacing="1" w:afterAutospacing="1"/>
      <w:jc w:val="left"/>
    </w:pPr>
    <w:rPr>
      <w:rFonts w:eastAsia="Times New Roman"/>
      <w:b w:val="false"/>
      <w:bCs w:val="false"/>
      <w:i w:val="false"/>
      <w:iCs w:val="false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2872b3"/>
    <w:pPr>
      <w:spacing w:beforeAutospacing="1" w:afterAutospacing="1"/>
      <w:jc w:val="left"/>
    </w:pPr>
    <w:rPr>
      <w:rFonts w:eastAsia="Times New Roman"/>
      <w:b w:val="false"/>
      <w:bCs w:val="false"/>
      <w:i w:val="false"/>
      <w:iCs w:val="false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b655d5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egalacts.ru/doc/273_FZ-ob-obrazovanii/glava-10/statja-76/" TargetMode="External"/><Relationship Id="rId3" Type="http://schemas.openxmlformats.org/officeDocument/2006/relationships/hyperlink" Target="mailto:11@tzi73.ru" TargetMode="External"/><Relationship Id="rId4" Type="http://schemas.openxmlformats.org/officeDocument/2006/relationships/hyperlink" Target="mailto:11@tzi73.ru" TargetMode="External"/><Relationship Id="rId5" Type="http://schemas.openxmlformats.org/officeDocument/2006/relationships/hyperlink" Target="http://www.npomars.com/db/ru/career/obuchenie/prikaz.pdf" TargetMode="External"/><Relationship Id="rId6" Type="http://schemas.openxmlformats.org/officeDocument/2006/relationships/hyperlink" Target="http://www.npomars.com/db/ru/career/obuchenie/prikaz_2022.pdf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Application>LibreOffice/6.0.7.3$Linux_X86_64 LibreOffice_project/00m0$Build-3</Application>
  <Pages>3</Pages>
  <Words>635</Words>
  <Characters>4603</Characters>
  <CharactersWithSpaces>5203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2022-12-12T09:58:00Z</dcterms:created>
  <dc:creator>Zemskov</dc:creator>
  <dc:description/>
  <dc:language>ru-RU</dc:language>
  <cp:lastModifiedBy/>
  <dcterms:modified xsi:type="dcterms:W3CDTF">2025-01-15T14:50:36Z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