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mallCaps w:val="1"/>
          <w:color w:val="000000"/>
          <w:sz w:val="20"/>
          <w:szCs w:val="20"/>
          <w:rtl w:val="0"/>
        </w:rPr>
        <w:t xml:space="preserve">УДК</w:t>
      </w:r>
      <w:r w:rsidDel="00000000" w:rsidR="00000000" w:rsidRPr="00000000">
        <w:rPr>
          <w:rFonts w:ascii="Times New Roman" w:cs="Times New Roman" w:eastAsia="Times New Roman" w:hAnsi="Times New Roman"/>
          <w:b w:val="1"/>
          <w:smallCaps w:val="1"/>
          <w:color w:val="000000"/>
          <w:sz w:val="20"/>
          <w:szCs w:val="20"/>
          <w:rtl w:val="0"/>
        </w:rPr>
        <w:t xml:space="preserve"> </w:t>
      </w:r>
      <w:r w:rsidDel="00000000" w:rsidR="00000000" w:rsidRPr="00000000">
        <w:rPr>
          <w:rFonts w:ascii="Times New Roman" w:cs="Times New Roman" w:eastAsia="Times New Roman" w:hAnsi="Times New Roman"/>
          <w:smallCaps w:val="1"/>
          <w:color w:val="000000"/>
          <w:sz w:val="20"/>
          <w:szCs w:val="20"/>
          <w:rtl w:val="0"/>
        </w:rPr>
        <w:t xml:space="preserve">51-74 </w:t>
      </w:r>
      <w:r w:rsidDel="00000000" w:rsidR="00000000" w:rsidRPr="00000000">
        <w:rPr>
          <w:rtl w:val="0"/>
        </w:rPr>
      </w:r>
    </w:p>
    <w:p w:rsidR="00000000" w:rsidDel="00000000" w:rsidP="00000000" w:rsidRDefault="00000000" w:rsidRPr="00000000" w14:paraId="00000002">
      <w:pPr>
        <w:spacing w:after="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ТЕСТИРОВАНИЕ АЛГОРИТМОВ МАШИННОГО ОБУЧЕНИЯ ДЛЯ ЗА</w:t>
      </w:r>
      <w:r w:rsidDel="00000000" w:rsidR="00000000" w:rsidRPr="00000000">
        <w:rPr>
          <w:rFonts w:ascii="Times New Roman" w:cs="Times New Roman" w:eastAsia="Times New Roman" w:hAnsi="Times New Roman"/>
          <w:b w:val="1"/>
          <w:sz w:val="20"/>
          <w:szCs w:val="20"/>
          <w:rtl w:val="0"/>
        </w:rPr>
        <w:t xml:space="preserve">ДАЧ КЛАССИФИКАЦИИ И РЕГРЕССИИ </w:t>
      </w:r>
      <w:r w:rsidDel="00000000" w:rsidR="00000000" w:rsidRPr="00000000">
        <w:rPr>
          <w:rFonts w:ascii="Times New Roman" w:cs="Times New Roman" w:eastAsia="Times New Roman" w:hAnsi="Times New Roman"/>
          <w:b w:val="1"/>
          <w:color w:val="000000"/>
          <w:sz w:val="20"/>
          <w:szCs w:val="20"/>
          <w:rtl w:val="0"/>
        </w:rPr>
        <w:t xml:space="preserve">ПОРЯДКОВОГО ПРИЗНАКА</w:t>
      </w:r>
      <w:r w:rsidDel="00000000" w:rsidR="00000000" w:rsidRPr="00000000">
        <w:rPr>
          <w:rtl w:val="0"/>
        </w:rPr>
      </w:r>
    </w:p>
    <w:p w:rsidR="00000000" w:rsidDel="00000000" w:rsidP="00000000" w:rsidRDefault="00000000" w:rsidRPr="00000000" w14:paraId="00000003">
      <w:pPr>
        <w:spacing w:after="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Д.А. Редько</w:t>
      </w: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Научный руководитель: </w:t>
      </w:r>
      <w:r w:rsidDel="00000000" w:rsidR="00000000" w:rsidRPr="00000000">
        <w:rPr>
          <w:rFonts w:ascii="Times New Roman" w:cs="Times New Roman" w:eastAsia="Times New Roman" w:hAnsi="Times New Roman"/>
          <w:color w:val="333333"/>
          <w:sz w:val="20"/>
          <w:szCs w:val="20"/>
          <w:highlight w:val="white"/>
          <w:rtl w:val="0"/>
        </w:rPr>
        <w:t xml:space="preserve">к. ф.-м. н., доцент М.Е. Семенов</w:t>
      </w:r>
      <w:r w:rsidDel="00000000" w:rsidR="00000000" w:rsidRPr="00000000">
        <w:rPr>
          <w:rtl w:val="0"/>
        </w:rPr>
      </w:r>
    </w:p>
    <w:p w:rsidR="00000000" w:rsidDel="00000000" w:rsidP="00000000" w:rsidRDefault="00000000" w:rsidRPr="00000000" w14:paraId="00000005">
      <w:pPr>
        <w:spacing w:after="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Национальный исследовательский Томский политехнический университет, </w:t>
      </w: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Россия, г. Томск, пр. Ленина, 30, 634050</w:t>
      </w: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E-mail: </w:t>
      </w:r>
      <w:hyperlink r:id="rId7">
        <w:r w:rsidDel="00000000" w:rsidR="00000000" w:rsidRPr="00000000">
          <w:rPr>
            <w:rFonts w:ascii="Times New Roman" w:cs="Times New Roman" w:eastAsia="Times New Roman" w:hAnsi="Times New Roman"/>
            <w:color w:val="0563c1"/>
            <w:sz w:val="20"/>
            <w:szCs w:val="20"/>
            <w:u w:val="single"/>
            <w:rtl w:val="0"/>
          </w:rPr>
          <w:t xml:space="preserve">dar27@tpu.ru</w:t>
        </w:r>
      </w:hyperlink>
      <w:r w:rsidDel="00000000" w:rsidR="00000000" w:rsidRPr="00000000">
        <w:rPr>
          <w:rtl w:val="0"/>
        </w:rPr>
      </w:r>
    </w:p>
    <w:p w:rsidR="00000000" w:rsidDel="00000000" w:rsidP="00000000" w:rsidRDefault="00000000" w:rsidRPr="00000000" w14:paraId="00000008">
      <w:pPr>
        <w:spacing w:after="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MACHINE LEARNING ALGORITHMS TESTING FOR</w:t>
      </w:r>
      <w:r w:rsidDel="00000000" w:rsidR="00000000" w:rsidRPr="00000000">
        <w:rPr>
          <w:rFonts w:ascii="Times New Roman" w:cs="Times New Roman" w:eastAsia="Times New Roman" w:hAnsi="Times New Roman"/>
          <w:b w:val="1"/>
          <w:sz w:val="20"/>
          <w:szCs w:val="20"/>
          <w:rtl w:val="0"/>
        </w:rPr>
        <w:t xml:space="preserve"> СLASSIFICATION AND REGRESSION PROBLEMS ON</w:t>
      </w:r>
      <w:r w:rsidDel="00000000" w:rsidR="00000000" w:rsidRPr="00000000">
        <w:rPr>
          <w:rFonts w:ascii="Times New Roman" w:cs="Times New Roman" w:eastAsia="Times New Roman" w:hAnsi="Times New Roman"/>
          <w:b w:val="1"/>
          <w:color w:val="000000"/>
          <w:sz w:val="20"/>
          <w:szCs w:val="20"/>
          <w:rtl w:val="0"/>
        </w:rPr>
        <w:t xml:space="preserve"> ORDINAL RESPONSE</w:t>
      </w:r>
      <w:r w:rsidDel="00000000" w:rsidR="00000000" w:rsidRPr="00000000">
        <w:rPr>
          <w:rtl w:val="0"/>
        </w:rPr>
      </w:r>
    </w:p>
    <w:p w:rsidR="00000000" w:rsidDel="00000000" w:rsidP="00000000" w:rsidRDefault="00000000" w:rsidRPr="00000000" w14:paraId="00000009">
      <w:pPr>
        <w:spacing w:after="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D.A. Redko</w:t>
      </w:r>
      <w:r w:rsidDel="00000000" w:rsidR="00000000" w:rsidRPr="00000000">
        <w:rPr>
          <w:rtl w:val="0"/>
        </w:rPr>
      </w:r>
    </w:p>
    <w:p w:rsidR="00000000" w:rsidDel="00000000" w:rsidP="00000000" w:rsidRDefault="00000000" w:rsidRPr="00000000" w14:paraId="0000000A">
      <w:pPr>
        <w:spacing w:after="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Scientific Supervisor: PhD, Associate Professor M.E. Semenov</w:t>
      </w:r>
      <w:r w:rsidDel="00000000" w:rsidR="00000000" w:rsidRPr="00000000">
        <w:rPr>
          <w:rtl w:val="0"/>
        </w:rPr>
      </w:r>
    </w:p>
    <w:p w:rsidR="00000000" w:rsidDel="00000000" w:rsidP="00000000" w:rsidRDefault="00000000" w:rsidRPr="00000000" w14:paraId="0000000B">
      <w:pPr>
        <w:spacing w:after="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Tomsk Polytechnic University, Russia, Tomsk, Lenin str., 30, 634050</w:t>
      </w:r>
      <w:r w:rsidDel="00000000" w:rsidR="00000000" w:rsidRPr="00000000">
        <w:rPr>
          <w:rtl w:val="0"/>
        </w:rPr>
      </w:r>
    </w:p>
    <w:p w:rsidR="00000000" w:rsidDel="00000000" w:rsidP="00000000" w:rsidRDefault="00000000" w:rsidRPr="00000000" w14:paraId="0000000C">
      <w:pPr>
        <w:spacing w:after="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E-mail: </w:t>
      </w:r>
      <w:hyperlink r:id="rId8">
        <w:r w:rsidDel="00000000" w:rsidR="00000000" w:rsidRPr="00000000">
          <w:rPr>
            <w:rFonts w:ascii="Times New Roman" w:cs="Times New Roman" w:eastAsia="Times New Roman" w:hAnsi="Times New Roman"/>
            <w:color w:val="0563c1"/>
            <w:sz w:val="20"/>
            <w:szCs w:val="20"/>
            <w:u w:val="single"/>
            <w:rtl w:val="0"/>
          </w:rPr>
          <w:t xml:space="preserve">dar27@tpu.ru</w:t>
        </w:r>
      </w:hyperlink>
      <w:r w:rsidDel="00000000" w:rsidR="00000000" w:rsidRPr="00000000">
        <w:rPr>
          <w:rtl w:val="0"/>
        </w:rPr>
      </w:r>
    </w:p>
    <w:p w:rsidR="00000000" w:rsidDel="00000000" w:rsidP="00000000" w:rsidRDefault="00000000" w:rsidRPr="00000000" w14:paraId="0000000D">
      <w:pPr>
        <w:spacing w:after="0"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spacing w:after="0" w:line="360" w:lineRule="auto"/>
        <w:jc w:val="both"/>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Abstract</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Оptimal features selection for predictions play a key role in machine learning. In this paper, the main machine learning algorithms are analyzed on binary and ordinal classification and regression tasks. The Wine Quality DataSet has been used for numerical experiments.</w:t>
      </w:r>
      <w:r w:rsidDel="00000000" w:rsidR="00000000" w:rsidRPr="00000000">
        <w:rPr>
          <w:rtl w:val="0"/>
        </w:rPr>
      </w:r>
    </w:p>
    <w:p w:rsidR="00000000" w:rsidDel="00000000" w:rsidP="00000000" w:rsidRDefault="00000000" w:rsidRPr="00000000" w14:paraId="0000000F">
      <w:pPr>
        <w:spacing w:after="0"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spacing w:after="0" w:line="360" w:lineRule="auto"/>
        <w:ind w:firstLine="567"/>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Введение. </w:t>
      </w:r>
      <w:r w:rsidDel="00000000" w:rsidR="00000000" w:rsidRPr="00000000">
        <w:rPr>
          <w:rFonts w:ascii="Times New Roman" w:cs="Times New Roman" w:eastAsia="Times New Roman" w:hAnsi="Times New Roman"/>
          <w:color w:val="000000"/>
          <w:sz w:val="20"/>
          <w:szCs w:val="20"/>
          <w:rtl w:val="0"/>
        </w:rPr>
        <w:t xml:space="preserve">Машинное обучение является ведущей тенденцией развития промышленной сферы деятельности человека. Одной из ключевых проблем машинного обучения является выбор алгоритма обучения модели </w:t>
      </w:r>
      <w:r w:rsidDel="00000000" w:rsidR="00000000" w:rsidRPr="00000000">
        <w:rPr>
          <w:rFonts w:ascii="Times New Roman" w:cs="Times New Roman" w:eastAsia="Times New Roman" w:hAnsi="Times New Roman"/>
          <w:sz w:val="20"/>
          <w:szCs w:val="20"/>
          <w:rtl w:val="0"/>
        </w:rPr>
        <w:t xml:space="preserve">для </w:t>
      </w:r>
      <w:r w:rsidDel="00000000" w:rsidR="00000000" w:rsidRPr="00000000">
        <w:rPr>
          <w:rFonts w:ascii="Times New Roman" w:cs="Times New Roman" w:eastAsia="Times New Roman" w:hAnsi="Times New Roman"/>
          <w:color w:val="000000"/>
          <w:sz w:val="20"/>
          <w:szCs w:val="20"/>
          <w:rtl w:val="0"/>
        </w:rPr>
        <w:t xml:space="preserve">решени</w:t>
      </w:r>
      <w:r w:rsidDel="00000000" w:rsidR="00000000" w:rsidRPr="00000000">
        <w:rPr>
          <w:rFonts w:ascii="Times New Roman" w:cs="Times New Roman" w:eastAsia="Times New Roman" w:hAnsi="Times New Roman"/>
          <w:sz w:val="20"/>
          <w:szCs w:val="20"/>
          <w:rtl w:val="0"/>
        </w:rPr>
        <w:t xml:space="preserve">я</w:t>
      </w:r>
      <w:r w:rsidDel="00000000" w:rsidR="00000000" w:rsidRPr="00000000">
        <w:rPr>
          <w:rFonts w:ascii="Times New Roman" w:cs="Times New Roman" w:eastAsia="Times New Roman" w:hAnsi="Times New Roman"/>
          <w:color w:val="000000"/>
          <w:sz w:val="20"/>
          <w:szCs w:val="20"/>
          <w:rtl w:val="0"/>
        </w:rPr>
        <w:t xml:space="preserve"> задач классификации или регрессии в случае порядкового результирующего признака. Эта проблема связана с тем, что алгоритмы не учитывают возможность использования операции порядка и работают фактически как с бинарными (</w:t>
      </w:r>
      <w:r w:rsidDel="00000000" w:rsidR="00000000" w:rsidRPr="00000000">
        <w:rPr>
          <w:rFonts w:ascii="Times New Roman" w:cs="Times New Roman" w:eastAsia="Times New Roman" w:hAnsi="Times New Roman"/>
          <w:sz w:val="20"/>
          <w:szCs w:val="20"/>
          <w:rtl w:val="0"/>
        </w:rPr>
        <w:t xml:space="preserve">дихотомическими</w:t>
      </w:r>
      <w:r w:rsidDel="00000000" w:rsidR="00000000" w:rsidRPr="00000000">
        <w:rPr>
          <w:rFonts w:ascii="Times New Roman" w:cs="Times New Roman" w:eastAsia="Times New Roman" w:hAnsi="Times New Roman"/>
          <w:color w:val="000000"/>
          <w:sz w:val="20"/>
          <w:szCs w:val="20"/>
          <w:rtl w:val="0"/>
        </w:rPr>
        <w:t xml:space="preserve">) данными. </w:t>
      </w:r>
    </w:p>
    <w:p w:rsidR="00000000" w:rsidDel="00000000" w:rsidP="00000000" w:rsidRDefault="00000000" w:rsidRPr="00000000" w14:paraId="00000011">
      <w:pPr>
        <w:spacing w:after="0" w:line="360" w:lineRule="auto"/>
        <w:ind w:firstLine="56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Цель работы – изучение и практическое применение алгоритмов машинного обучения для решения задач классификации и регрессии для объектов, измеренных в порядковой шкале. Для проведения численных экспериментов использован набор данных Wine Quality Data Set [</w:t>
      </w: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p w:rsidR="00000000" w:rsidDel="00000000" w:rsidP="00000000" w:rsidRDefault="00000000" w:rsidRPr="00000000" w14:paraId="00000012">
      <w:pPr>
        <w:spacing w:after="0" w:line="360" w:lineRule="auto"/>
        <w:ind w:firstLine="567"/>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Исходные данные.</w:t>
      </w:r>
      <w:r w:rsidDel="00000000" w:rsidR="00000000" w:rsidRPr="00000000">
        <w:rPr>
          <w:rFonts w:ascii="Times New Roman" w:cs="Times New Roman" w:eastAsia="Times New Roman" w:hAnsi="Times New Roman"/>
          <w:color w:val="000000"/>
          <w:sz w:val="20"/>
          <w:szCs w:val="20"/>
          <w:rtl w:val="0"/>
        </w:rPr>
        <w:t xml:space="preserve"> Исходный набор содержит 1599 записей, без пропусков и NaN ячеек и включает 11 вещественных признаков красного вина: fixed acidity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фиксированная кислотность), volatile acidity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летучая кислотность), citric acid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лимонная кислота), residual sugar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остаточный сахар), chlorides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хлориды), free sulfur dioxide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свободный диоксид серы), total sulfur dioxide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общий диоксид серы), density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плотность), pH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кислотность), sulphates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сульфаты), alcohol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содержание спирта, %), а также интегральный экспертный признак – quality (</w:t>
      </w:r>
      <w:r w:rsidDel="00000000" w:rsidR="00000000" w:rsidRPr="00000000">
        <w:rPr>
          <w:rFonts w:ascii="Times New Roman" w:cs="Times New Roman" w:eastAsia="Times New Roman" w:hAnsi="Times New Roman"/>
          <w:i w:val="1"/>
          <w:color w:val="000000"/>
          <w:sz w:val="20"/>
          <w:szCs w:val="20"/>
          <w:rtl w:val="0"/>
        </w:rPr>
        <w:t xml:space="preserve">качество</w:t>
      </w:r>
      <w:r w:rsidDel="00000000" w:rsidR="00000000" w:rsidRPr="00000000">
        <w:rPr>
          <w:rFonts w:ascii="Times New Roman" w:cs="Times New Roman" w:eastAsia="Times New Roman" w:hAnsi="Times New Roman"/>
          <w:color w:val="000000"/>
          <w:sz w:val="20"/>
          <w:szCs w:val="20"/>
          <w:rtl w:val="0"/>
        </w:rPr>
        <w:t xml:space="preserve">), приведенный в порядковой шкале:</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0 – худшее, 10 – лучшее качество. Анализ данных показал, что в наборе признак </w:t>
      </w:r>
      <w:r w:rsidDel="00000000" w:rsidR="00000000" w:rsidRPr="00000000">
        <w:rPr>
          <w:rFonts w:ascii="Times New Roman" w:cs="Times New Roman" w:eastAsia="Times New Roman" w:hAnsi="Times New Roman"/>
          <w:i w:val="1"/>
          <w:color w:val="000000"/>
          <w:sz w:val="20"/>
          <w:szCs w:val="20"/>
          <w:rtl w:val="0"/>
        </w:rPr>
        <w:t xml:space="preserve">качество</w:t>
      </w:r>
      <w:r w:rsidDel="00000000" w:rsidR="00000000" w:rsidRPr="00000000">
        <w:rPr>
          <w:rFonts w:ascii="Times New Roman" w:cs="Times New Roman" w:eastAsia="Times New Roman" w:hAnsi="Times New Roman"/>
          <w:color w:val="000000"/>
          <w:sz w:val="20"/>
          <w:szCs w:val="20"/>
          <w:rtl w:val="0"/>
        </w:rPr>
        <w:t xml:space="preserve"> принимает значения 3, 4, 5, 6, 7, 8 с частотами 10, 53, 681, 638, 199, 18 соответственно. При этом отношение 10/681=0,0146, что позволяет </w:t>
      </w:r>
      <w:r w:rsidDel="00000000" w:rsidR="00000000" w:rsidRPr="00000000">
        <w:rPr>
          <w:rFonts w:ascii="Times New Roman" w:cs="Times New Roman" w:eastAsia="Times New Roman" w:hAnsi="Times New Roman"/>
          <w:color w:val="000000"/>
          <w:sz w:val="20"/>
          <w:szCs w:val="20"/>
          <w:rtl w:val="0"/>
        </w:rPr>
        <w:t xml:space="preserve">говорить о дисбалансе классов.</w:t>
      </w:r>
      <w:r w:rsidDel="00000000" w:rsidR="00000000" w:rsidRPr="00000000">
        <w:rPr>
          <w:rtl w:val="0"/>
        </w:rPr>
      </w:r>
    </w:p>
    <w:p w:rsidR="00000000" w:rsidDel="00000000" w:rsidP="00000000" w:rsidRDefault="00000000" w:rsidRPr="00000000" w14:paraId="00000013">
      <w:pPr>
        <w:spacing w:after="0" w:line="360" w:lineRule="auto"/>
        <w:ind w:firstLine="567"/>
        <w:jc w:val="both"/>
        <w:rPr>
          <w:rFonts w:ascii="Times New Roman" w:cs="Times New Roman" w:eastAsia="Times New Roman" w:hAnsi="Times New Roman"/>
          <w:color w:val="000000"/>
          <w:sz w:val="20"/>
          <w:szCs w:val="20"/>
        </w:rPr>
      </w:pPr>
      <w:bookmarkStart w:colFirst="0" w:colLast="0" w:name="_heading=h.gjdgxs" w:id="0"/>
      <w:bookmarkEnd w:id="0"/>
      <w:r w:rsidDel="00000000" w:rsidR="00000000" w:rsidRPr="00000000">
        <w:rPr>
          <w:rFonts w:ascii="Times New Roman" w:cs="Times New Roman" w:eastAsia="Times New Roman" w:hAnsi="Times New Roman"/>
          <w:color w:val="000000"/>
          <w:sz w:val="20"/>
          <w:szCs w:val="20"/>
          <w:rtl w:val="0"/>
        </w:rPr>
        <w:t xml:space="preserve">В работе проведены численные эксперименты с а) исходным набором, а также с б) бинаризированным набором: 0 </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color w:val="000000"/>
          <w:sz w:val="20"/>
          <w:szCs w:val="20"/>
          <w:rtl w:val="0"/>
        </w:rPr>
        <w:t xml:space="preserve">плохое</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1 </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color w:val="000000"/>
          <w:sz w:val="20"/>
          <w:szCs w:val="20"/>
          <w:rtl w:val="0"/>
        </w:rPr>
        <w:t xml:space="preserve">хорошее качество. Для отображения порядкового признака </w:t>
      </w:r>
      <w:r w:rsidDel="00000000" w:rsidR="00000000" w:rsidRPr="00000000">
        <w:rPr>
          <w:rFonts w:ascii="Times New Roman" w:cs="Times New Roman" w:eastAsia="Times New Roman" w:hAnsi="Times New Roman"/>
          <w:i w:val="1"/>
          <w:color w:val="000000"/>
          <w:sz w:val="20"/>
          <w:szCs w:val="20"/>
          <w:rtl w:val="0"/>
        </w:rPr>
        <w:t xml:space="preserve">качество</w:t>
      </w:r>
      <w:r w:rsidDel="00000000" w:rsidR="00000000" w:rsidRPr="00000000">
        <w:rPr>
          <w:rFonts w:ascii="Times New Roman" w:cs="Times New Roman" w:eastAsia="Times New Roman" w:hAnsi="Times New Roman"/>
          <w:color w:val="000000"/>
          <w:sz w:val="20"/>
          <w:szCs w:val="20"/>
          <w:rtl w:val="0"/>
        </w:rPr>
        <w:t xml:space="preserve"> (quality) в бинарный мы использовали порог, равный 5. При этом доли элементов выборки с метками 0/1 существенно не отличаются и равны 0,465/0,535 соответственно, что позволяет утверждать, что бинаризованные данные сбалансированы. </w:t>
      </w:r>
    </w:p>
    <w:p w:rsidR="00000000" w:rsidDel="00000000" w:rsidP="00000000" w:rsidRDefault="00000000" w:rsidRPr="00000000" w14:paraId="00000014">
      <w:pPr>
        <w:spacing w:after="0" w:line="360" w:lineRule="auto"/>
        <w:ind w:firstLine="567"/>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Предварительный анализ исходных данных с использованием матрицы корреляции (рис. 1) показал, что данные слабо коррелированы. Наибольшая зависимость для признака </w:t>
      </w:r>
      <w:r w:rsidDel="00000000" w:rsidR="00000000" w:rsidRPr="00000000">
        <w:rPr>
          <w:rFonts w:ascii="Times New Roman" w:cs="Times New Roman" w:eastAsia="Times New Roman" w:hAnsi="Times New Roman"/>
          <w:i w:val="1"/>
          <w:color w:val="000000"/>
          <w:sz w:val="20"/>
          <w:szCs w:val="20"/>
          <w:rtl w:val="0"/>
        </w:rPr>
        <w:t xml:space="preserve">качество</w:t>
      </w:r>
      <w:r w:rsidDel="00000000" w:rsidR="00000000" w:rsidRPr="00000000">
        <w:rPr>
          <w:rFonts w:ascii="Times New Roman" w:cs="Times New Roman" w:eastAsia="Times New Roman" w:hAnsi="Times New Roman"/>
          <w:color w:val="000000"/>
          <w:sz w:val="20"/>
          <w:szCs w:val="20"/>
          <w:rtl w:val="0"/>
        </w:rPr>
        <w:t xml:space="preserve"> (quality) наблюдается с признаками </w:t>
      </w:r>
      <w:r w:rsidDel="00000000" w:rsidR="00000000" w:rsidRPr="00000000">
        <w:rPr>
          <w:rFonts w:ascii="Times New Roman" w:cs="Times New Roman" w:eastAsia="Times New Roman" w:hAnsi="Times New Roman"/>
          <w:i w:val="1"/>
          <w:color w:val="000000"/>
          <w:sz w:val="20"/>
          <w:szCs w:val="20"/>
          <w:rtl w:val="0"/>
        </w:rPr>
        <w:t xml:space="preserve">летучая кислотность</w:t>
      </w:r>
      <w:r w:rsidDel="00000000" w:rsidR="00000000" w:rsidRPr="00000000">
        <w:rPr>
          <w:rFonts w:ascii="Times New Roman" w:cs="Times New Roman" w:eastAsia="Times New Roman" w:hAnsi="Times New Roman"/>
          <w:color w:val="000000"/>
          <w:sz w:val="20"/>
          <w:szCs w:val="20"/>
          <w:rtl w:val="0"/>
        </w:rPr>
        <w:t xml:space="preserve"> (volatile acidity), </w:t>
      </w:r>
      <w:r w:rsidDel="00000000" w:rsidR="00000000" w:rsidRPr="00000000">
        <w:rPr>
          <w:rFonts w:ascii="Times New Roman" w:cs="Times New Roman" w:eastAsia="Times New Roman" w:hAnsi="Times New Roman"/>
          <w:i w:val="1"/>
          <w:color w:val="000000"/>
          <w:sz w:val="20"/>
          <w:szCs w:val="20"/>
          <w:rtl w:val="0"/>
        </w:rPr>
        <w:t xml:space="preserve">сульфаты </w:t>
      </w:r>
      <w:r w:rsidDel="00000000" w:rsidR="00000000" w:rsidRPr="00000000">
        <w:rPr>
          <w:rFonts w:ascii="Times New Roman" w:cs="Times New Roman" w:eastAsia="Times New Roman" w:hAnsi="Times New Roman"/>
          <w:color w:val="000000"/>
          <w:sz w:val="20"/>
          <w:szCs w:val="20"/>
          <w:rtl w:val="0"/>
        </w:rPr>
        <w:t xml:space="preserve">(sulphates), </w:t>
      </w:r>
      <w:r w:rsidDel="00000000" w:rsidR="00000000" w:rsidRPr="00000000">
        <w:rPr>
          <w:rFonts w:ascii="Times New Roman" w:cs="Times New Roman" w:eastAsia="Times New Roman" w:hAnsi="Times New Roman"/>
          <w:i w:val="1"/>
          <w:color w:val="000000"/>
          <w:sz w:val="20"/>
          <w:szCs w:val="20"/>
          <w:rtl w:val="0"/>
        </w:rPr>
        <w:t xml:space="preserve">содержание спирта</w:t>
      </w:r>
      <w:r w:rsidDel="00000000" w:rsidR="00000000" w:rsidRPr="00000000">
        <w:rPr>
          <w:rFonts w:ascii="Times New Roman" w:cs="Times New Roman" w:eastAsia="Times New Roman" w:hAnsi="Times New Roman"/>
          <w:color w:val="000000"/>
          <w:sz w:val="20"/>
          <w:szCs w:val="20"/>
          <w:rtl w:val="0"/>
        </w:rPr>
        <w:t xml:space="preserve"> (alcohol) и равна соответственно –0,39; 0,25; 0,48. После бинаризации данных корреляция незначительно уменьшилась и составила –0,32; 0,22; 0,43 соответственно</w:t>
      </w:r>
      <w:r w:rsidDel="00000000" w:rsidR="00000000" w:rsidRPr="00000000">
        <w:rPr>
          <w:rFonts w:ascii="Times New Roman" w:cs="Times New Roman" w:eastAsia="Times New Roman" w:hAnsi="Times New Roman"/>
          <w:sz w:val="20"/>
          <w:szCs w:val="20"/>
          <w:rtl w:val="0"/>
        </w:rPr>
        <w:t xml:space="preserve">. Хи-квадрат т</w:t>
      </w:r>
      <w:r w:rsidDel="00000000" w:rsidR="00000000" w:rsidRPr="00000000">
        <w:rPr>
          <w:rFonts w:ascii="Times New Roman" w:cs="Times New Roman" w:eastAsia="Times New Roman" w:hAnsi="Times New Roman"/>
          <w:sz w:val="20"/>
          <w:szCs w:val="20"/>
          <w:rtl w:val="0"/>
        </w:rPr>
        <w:t xml:space="preserve">ест на независимость показал, что признаки free sulfur dioxide и total sulfur dioxide зависимы с результирующим признаком, а распределение значений </w:t>
      </w:r>
      <w:r w:rsidDel="00000000" w:rsidR="00000000" w:rsidRPr="00000000">
        <w:rPr>
          <w:rFonts w:ascii="Times New Roman" w:cs="Times New Roman" w:eastAsia="Times New Roman" w:hAnsi="Times New Roman"/>
          <w:i w:val="1"/>
          <w:sz w:val="20"/>
          <w:szCs w:val="20"/>
          <w:rtl w:val="0"/>
        </w:rPr>
        <w:t xml:space="preserve">содержание спирта</w:t>
      </w:r>
      <w:r w:rsidDel="00000000" w:rsidR="00000000" w:rsidRPr="00000000">
        <w:rPr>
          <w:rFonts w:ascii="Times New Roman" w:cs="Times New Roman" w:eastAsia="Times New Roman" w:hAnsi="Times New Roman"/>
          <w:sz w:val="20"/>
          <w:szCs w:val="20"/>
          <w:rtl w:val="0"/>
        </w:rPr>
        <w:t xml:space="preserve"> (alcohol) отличается от нормального распределения  (Shapiro-Wilk normality test, W = 0,92884, p-value &lt; 2,2e–16). </w:t>
      </w:r>
      <w:r w:rsidDel="00000000" w:rsidR="00000000" w:rsidRPr="00000000">
        <w:rPr>
          <w:rtl w:val="0"/>
        </w:rPr>
      </w:r>
    </w:p>
    <w:p w:rsidR="00000000" w:rsidDel="00000000" w:rsidP="00000000" w:rsidRDefault="00000000" w:rsidRPr="00000000" w14:paraId="00000015">
      <w:pPr>
        <w:spacing w:after="0" w:line="360" w:lineRule="auto"/>
        <w:ind w:firstLine="28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Pr>
        <w:drawing>
          <wp:inline distB="0" distT="0" distL="0" distR="0">
            <wp:extent cx="2758018" cy="2342833"/>
            <wp:effectExtent b="0" l="0" r="0" t="0"/>
            <wp:docPr descr="https://lh5.googleusercontent.com/fL2_pycZAl56gbTGPa2Kghntd_C11LbdB9uInkTe3zPszN4E5PHXQwrX6VMrYfoA10X8Q8StMVFaq85ADqJqQyL26R8iWMd61RnrIGnQoDxT3PK2POMP2r9b-JmklA" id="7" name="image2.png"/>
            <a:graphic>
              <a:graphicData uri="http://schemas.openxmlformats.org/drawingml/2006/picture">
                <pic:pic>
                  <pic:nvPicPr>
                    <pic:cNvPr descr="https://lh5.googleusercontent.com/fL2_pycZAl56gbTGPa2Kghntd_C11LbdB9uInkTe3zPszN4E5PHXQwrX6VMrYfoA10X8Q8StMVFaq85ADqJqQyL26R8iWMd61RnrIGnQoDxT3PK2POMP2r9b-JmklA" id="0" name="image2.png"/>
                    <pic:cNvPicPr preferRelativeResize="0"/>
                  </pic:nvPicPr>
                  <pic:blipFill>
                    <a:blip r:embed="rId9"/>
                    <a:srcRect b="0" l="0" r="0" t="0"/>
                    <a:stretch>
                      <a:fillRect/>
                    </a:stretch>
                  </pic:blipFill>
                  <pic:spPr>
                    <a:xfrm>
                      <a:off x="0" y="0"/>
                      <a:ext cx="2758018" cy="2342833"/>
                    </a:xfrm>
                    <a:prstGeom prst="rect"/>
                    <a:ln/>
                  </pic:spPr>
                </pic:pic>
              </a:graphicData>
            </a:graphic>
          </wp:inline>
        </w:drawing>
      </w:r>
      <w:r w:rsidDel="00000000" w:rsidR="00000000" w:rsidRPr="00000000">
        <w:rPr>
          <w:rFonts w:ascii="Times New Roman" w:cs="Times New Roman" w:eastAsia="Times New Roman" w:hAnsi="Times New Roman"/>
          <w:color w:val="000000"/>
          <w:sz w:val="20"/>
          <w:szCs w:val="20"/>
        </w:rPr>
        <w:drawing>
          <wp:inline distB="0" distT="0" distL="0" distR="0">
            <wp:extent cx="2638425" cy="2276475"/>
            <wp:effectExtent b="0" l="0" r="0" t="0"/>
            <wp:docPr descr="https://lh4.googleusercontent.com/zGkWcqkrfdMq4ijCKZPpa6t2sAR02yY5X3SvbD_BBq1u5E1lXYo7hYsOQMg4wbkpgU75FI1Igg01DDWNRlpmWELyJFrhIqXh-upxnvCtliRsrBGW9i9veRc1jbfRSQ" id="9" name="image1.png"/>
            <a:graphic>
              <a:graphicData uri="http://schemas.openxmlformats.org/drawingml/2006/picture">
                <pic:pic>
                  <pic:nvPicPr>
                    <pic:cNvPr descr="https://lh4.googleusercontent.com/zGkWcqkrfdMq4ijCKZPpa6t2sAR02yY5X3SvbD_BBq1u5E1lXYo7hYsOQMg4wbkpgU75FI1Igg01DDWNRlpmWELyJFrhIqXh-upxnvCtliRsrBGW9i9veRc1jbfRSQ" id="0" name="image1.png"/>
                    <pic:cNvPicPr preferRelativeResize="0"/>
                  </pic:nvPicPr>
                  <pic:blipFill>
                    <a:blip r:embed="rId10"/>
                    <a:srcRect b="0" l="0" r="0" t="0"/>
                    <a:stretch>
                      <a:fillRect/>
                    </a:stretch>
                  </pic:blipFill>
                  <pic:spPr>
                    <a:xfrm>
                      <a:off x="0" y="0"/>
                      <a:ext cx="263842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0" w:line="360" w:lineRule="auto"/>
        <w:jc w:val="center"/>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Рис. 1. Матрица корреляций для исходного набора данных (слева) и бинаризованного набора (справа)</w:t>
      </w:r>
    </w:p>
    <w:p w:rsidR="00000000" w:rsidDel="00000000" w:rsidP="00000000" w:rsidRDefault="00000000" w:rsidRPr="00000000" w14:paraId="00000017">
      <w:pPr>
        <w:spacing w:after="0" w:line="36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color w:val="000000"/>
          <w:sz w:val="20"/>
          <w:szCs w:val="20"/>
          <w:rtl w:val="0"/>
        </w:rPr>
        <w:t xml:space="preserve">Таблица 1. </w:t>
      </w:r>
      <w:r w:rsidDel="00000000" w:rsidR="00000000" w:rsidRPr="00000000">
        <w:rPr>
          <w:rtl w:val="0"/>
        </w:rPr>
      </w:r>
    </w:p>
    <w:p w:rsidR="00000000" w:rsidDel="00000000" w:rsidP="00000000" w:rsidRDefault="00000000" w:rsidRPr="00000000" w14:paraId="00000018">
      <w:pPr>
        <w:spacing w:after="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color w:val="000000"/>
          <w:sz w:val="20"/>
          <w:szCs w:val="20"/>
          <w:rtl w:val="0"/>
        </w:rPr>
        <w:t xml:space="preserve">Доля правильно классифицированных значений признака “quality” для различных классификаторов</w:t>
      </w:r>
      <w:r w:rsidDel="00000000" w:rsidR="00000000" w:rsidRPr="00000000">
        <w:rPr>
          <w:rtl w:val="0"/>
        </w:rPr>
      </w:r>
    </w:p>
    <w:tbl>
      <w:tblPr>
        <w:tblStyle w:val="Table1"/>
        <w:tblW w:w="7187.0" w:type="dxa"/>
        <w:jc w:val="center"/>
        <w:tblLayout w:type="fixed"/>
        <w:tblLook w:val="0400"/>
      </w:tblPr>
      <w:tblGrid>
        <w:gridCol w:w="1589"/>
        <w:gridCol w:w="962"/>
        <w:gridCol w:w="962"/>
        <w:gridCol w:w="1067"/>
        <w:gridCol w:w="1067"/>
        <w:gridCol w:w="770"/>
        <w:gridCol w:w="770"/>
        <w:tblGridChange w:id="0">
          <w:tblGrid>
            <w:gridCol w:w="1589"/>
            <w:gridCol w:w="962"/>
            <w:gridCol w:w="962"/>
            <w:gridCol w:w="1067"/>
            <w:gridCol w:w="1067"/>
            <w:gridCol w:w="770"/>
            <w:gridCol w:w="770"/>
          </w:tblGrid>
        </w:tblGridChange>
      </w:tblGrid>
      <w:tr>
        <w:trPr>
          <w:cantSplit w:val="0"/>
          <w:trHeight w:val="221" w:hRule="atLeast"/>
          <w:tblHeader w:val="0"/>
        </w:trPr>
        <w:tc>
          <w:tcPr>
            <w:vMerge w:val="restart"/>
            <w:tcBorders>
              <w:top w:color="333333" w:space="0" w:sz="8" w:val="single"/>
              <w:left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1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rtl w:val="0"/>
              </w:rPr>
              <w:t xml:space="preserve">Классификатор</w:t>
            </w:r>
            <w:r w:rsidDel="00000000" w:rsidR="00000000" w:rsidRPr="00000000">
              <w:rPr>
                <w:rtl w:val="0"/>
              </w:rPr>
            </w:r>
          </w:p>
        </w:tc>
        <w:tc>
          <w:tcPr>
            <w:gridSpan w:val="2"/>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1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rtl w:val="0"/>
              </w:rPr>
              <w:t xml:space="preserve">Бинарный признак</w:t>
            </w:r>
            <w:r w:rsidDel="00000000" w:rsidR="00000000" w:rsidRPr="00000000">
              <w:rPr>
                <w:rtl w:val="0"/>
              </w:rPr>
            </w:r>
          </w:p>
        </w:tc>
        <w:tc>
          <w:tcPr>
            <w:gridSpan w:val="2"/>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1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rtl w:val="0"/>
              </w:rPr>
              <w:t xml:space="preserve">Порядковый признак</w:t>
            </w:r>
            <w:r w:rsidDel="00000000" w:rsidR="00000000" w:rsidRPr="00000000">
              <w:rPr>
                <w:rtl w:val="0"/>
              </w:rPr>
            </w:r>
          </w:p>
        </w:tc>
        <w:tc>
          <w:tcPr>
            <w:gridSpan w:val="2"/>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1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rtl w:val="0"/>
              </w:rPr>
              <w:t xml:space="preserve">Кластеризация</w:t>
            </w:r>
            <w:r w:rsidDel="00000000" w:rsidR="00000000" w:rsidRPr="00000000">
              <w:rPr>
                <w:rtl w:val="0"/>
              </w:rPr>
            </w:r>
          </w:p>
        </w:tc>
      </w:tr>
      <w:tr>
        <w:trPr>
          <w:cantSplit w:val="0"/>
          <w:trHeight w:val="200" w:hRule="atLeast"/>
          <w:tblHeader w:val="0"/>
        </w:trPr>
        <w:tc>
          <w:tcPr>
            <w:vMerge w:val="continue"/>
            <w:tcBorders>
              <w:top w:color="333333" w:space="0" w:sz="8" w:val="single"/>
              <w:left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2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rtl w:val="0"/>
              </w:rPr>
              <w:t xml:space="preserve">Test</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2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rtl w:val="0"/>
              </w:rPr>
              <w:t xml:space="preserve">Train</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2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rtl w:val="0"/>
              </w:rPr>
              <w:t xml:space="preserve">Test</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2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rtl w:val="0"/>
              </w:rPr>
              <w:t xml:space="preserve">Train</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2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rtl w:val="0"/>
              </w:rPr>
              <w:t xml:space="preserve">Test</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2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rtl w:val="0"/>
              </w:rPr>
              <w:t xml:space="preserve">Train</w:t>
            </w:r>
            <w:r w:rsidDel="00000000" w:rsidR="00000000" w:rsidRPr="00000000">
              <w:rPr>
                <w:rtl w:val="0"/>
              </w:rPr>
            </w:r>
          </w:p>
        </w:tc>
      </w:tr>
      <w:tr>
        <w:trPr>
          <w:cantSplit w:val="0"/>
          <w:trHeight w:val="315" w:hRule="atLeast"/>
          <w:tblHeader w:val="0"/>
        </w:trPr>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27">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highlight w:val="white"/>
                <w:rtl w:val="0"/>
              </w:rPr>
              <w:t xml:space="preserve">ExtraTrees</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2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highlight w:val="white"/>
                <w:rtl w:val="0"/>
              </w:rPr>
              <w:t xml:space="preserve">0,7804</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29">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highlight w:val="white"/>
                <w:rtl w:val="0"/>
              </w:rPr>
              <w:t xml:space="preserve">0,8339</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2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highlight w:val="white"/>
                <w:rtl w:val="0"/>
              </w:rPr>
              <w:t xml:space="preserve">0,6191</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2B">
            <w:pPr>
              <w:spacing w:after="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0"/>
                <w:sz w:val="20"/>
                <w:szCs w:val="20"/>
                <w:highlight w:val="white"/>
                <w:rtl w:val="0"/>
              </w:rPr>
              <w:t xml:space="preserve">0,9559</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2C">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highlight w:val="white"/>
                <w:rtl w:val="0"/>
              </w:rPr>
              <w:t xml:space="preserve">0,9975</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2D">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highlight w:val="white"/>
                <w:rtl w:val="0"/>
              </w:rPr>
              <w:t xml:space="preserve">1,0000</w:t>
            </w:r>
            <w:r w:rsidDel="00000000" w:rsidR="00000000" w:rsidRPr="00000000">
              <w:rPr>
                <w:rtl w:val="0"/>
              </w:rPr>
            </w:r>
          </w:p>
        </w:tc>
      </w:tr>
      <w:tr>
        <w:trPr>
          <w:cantSplit w:val="0"/>
          <w:trHeight w:val="315" w:hRule="atLeast"/>
          <w:tblHeader w:val="0"/>
        </w:trPr>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2E">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highlight w:val="white"/>
                <w:rtl w:val="0"/>
              </w:rPr>
              <w:t xml:space="preserve">Bagging</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2F">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highlight w:val="white"/>
                <w:rtl w:val="0"/>
              </w:rPr>
              <w:t xml:space="preserve">0,7767</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3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highlight w:val="white"/>
                <w:rtl w:val="0"/>
              </w:rPr>
              <w:t xml:space="preserve">0,9821</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31">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highlight w:val="white"/>
                <w:rtl w:val="0"/>
              </w:rPr>
              <w:t xml:space="preserve">0,6097</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3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highlight w:val="white"/>
                <w:rtl w:val="0"/>
              </w:rPr>
              <w:t xml:space="preserve">0,7514</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33">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highlight w:val="white"/>
                <w:rtl w:val="0"/>
              </w:rPr>
              <w:t xml:space="preserve">0,9975</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34">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highlight w:val="white"/>
                <w:rtl w:val="0"/>
              </w:rPr>
              <w:t xml:space="preserve">1,0000</w:t>
            </w:r>
            <w:r w:rsidDel="00000000" w:rsidR="00000000" w:rsidRPr="00000000">
              <w:rPr>
                <w:rtl w:val="0"/>
              </w:rPr>
            </w:r>
          </w:p>
        </w:tc>
      </w:tr>
      <w:tr>
        <w:trPr>
          <w:cantSplit w:val="0"/>
          <w:trHeight w:val="315" w:hRule="atLeast"/>
          <w:tblHeader w:val="0"/>
        </w:trPr>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3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highlight w:val="white"/>
                <w:rtl w:val="0"/>
              </w:rPr>
              <w:t xml:space="preserve">RandomForest</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3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highlight w:val="white"/>
                <w:rtl w:val="0"/>
              </w:rPr>
              <w:t xml:space="preserve">0,7729</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37">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highlight w:val="white"/>
                <w:rtl w:val="0"/>
              </w:rPr>
              <w:t xml:space="preserve">0,8724</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3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highlight w:val="white"/>
                <w:rtl w:val="0"/>
              </w:rPr>
              <w:t xml:space="preserve">0,5984</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39">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highlight w:val="white"/>
                <w:rtl w:val="0"/>
              </w:rPr>
              <w:t xml:space="preserve">0,7382</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3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highlight w:val="white"/>
                <w:rtl w:val="0"/>
              </w:rPr>
              <w:t xml:space="preserve">0,9925</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3B">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highlight w:val="white"/>
                <w:rtl w:val="0"/>
              </w:rPr>
              <w:t xml:space="preserve">1,0000</w:t>
            </w:r>
            <w:r w:rsidDel="00000000" w:rsidR="00000000" w:rsidRPr="00000000">
              <w:rPr>
                <w:rtl w:val="0"/>
              </w:rPr>
            </w:r>
          </w:p>
        </w:tc>
      </w:tr>
      <w:tr>
        <w:trPr>
          <w:cantSplit w:val="0"/>
          <w:trHeight w:val="315" w:hRule="atLeast"/>
          <w:tblHeader w:val="0"/>
        </w:trPr>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3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highlight w:val="white"/>
                <w:rtl w:val="0"/>
              </w:rPr>
              <w:t xml:space="preserve">KNeighbors</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3D">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highlight w:val="white"/>
                <w:rtl w:val="0"/>
              </w:rPr>
              <w:t xml:space="preserve">0,7467</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3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highlight w:val="white"/>
                <w:rtl w:val="0"/>
              </w:rPr>
              <w:t xml:space="preserve">0,8095</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3F">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highlight w:val="white"/>
                <w:rtl w:val="0"/>
              </w:rPr>
              <w:t xml:space="preserve">0,5872</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4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highlight w:val="white"/>
                <w:rtl w:val="0"/>
              </w:rPr>
              <w:t xml:space="preserve">0,7091</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41">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highlight w:val="white"/>
                <w:rtl w:val="0"/>
              </w:rPr>
              <w:t xml:space="preserve">0,9925</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4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highlight w:val="white"/>
                <w:rtl w:val="0"/>
              </w:rPr>
              <w:t xml:space="preserve">1,0000</w:t>
            </w:r>
            <w:r w:rsidDel="00000000" w:rsidR="00000000" w:rsidRPr="00000000">
              <w:rPr>
                <w:rtl w:val="0"/>
              </w:rPr>
            </w:r>
          </w:p>
        </w:tc>
      </w:tr>
      <w:tr>
        <w:trPr>
          <w:cantSplit w:val="0"/>
          <w:trHeight w:val="315" w:hRule="atLeast"/>
          <w:tblHeader w:val="0"/>
        </w:trPr>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4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highlight w:val="white"/>
                <w:rtl w:val="0"/>
              </w:rPr>
              <w:t xml:space="preserve">DecisionTree</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44">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highlight w:val="white"/>
                <w:rtl w:val="0"/>
              </w:rPr>
              <w:t xml:space="preserve">0,7410</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45">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highlight w:val="white"/>
                <w:rtl w:val="0"/>
              </w:rPr>
              <w:t xml:space="preserve">0,8921</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4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highlight w:val="white"/>
                <w:rtl w:val="0"/>
              </w:rPr>
              <w:t xml:space="preserve">0,5816</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47">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highlight w:val="white"/>
                <w:rtl w:val="0"/>
              </w:rPr>
              <w:t xml:space="preserve">0,7138</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4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highlight w:val="white"/>
                <w:rtl w:val="0"/>
              </w:rPr>
              <w:t xml:space="preserve">0,9875</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49">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highlight w:val="white"/>
                <w:rtl w:val="0"/>
              </w:rPr>
              <w:t xml:space="preserve">1,0000</w:t>
            </w:r>
            <w:r w:rsidDel="00000000" w:rsidR="00000000" w:rsidRPr="00000000">
              <w:rPr>
                <w:rtl w:val="0"/>
              </w:rPr>
            </w:r>
          </w:p>
        </w:tc>
      </w:tr>
      <w:tr>
        <w:trPr>
          <w:cantSplit w:val="0"/>
          <w:trHeight w:val="315" w:hRule="atLeast"/>
          <w:tblHeader w:val="0"/>
        </w:trPr>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4A">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highlight w:val="white"/>
                <w:rtl w:val="0"/>
              </w:rPr>
              <w:t xml:space="preserve">GradientBoosting</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4B">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highlight w:val="white"/>
                <w:rtl w:val="0"/>
              </w:rPr>
              <w:t xml:space="preserve">0,7410</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4C">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highlight w:val="white"/>
                <w:rtl w:val="0"/>
              </w:rPr>
              <w:t xml:space="preserve">0,7720</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4D">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highlight w:val="white"/>
                <w:rtl w:val="0"/>
              </w:rPr>
              <w:t xml:space="preserve">0,5590</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4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highlight w:val="white"/>
                <w:rtl w:val="0"/>
              </w:rPr>
              <w:t xml:space="preserve">0,8217</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4F">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highlight w:val="white"/>
                <w:rtl w:val="0"/>
              </w:rPr>
              <w:t xml:space="preserve">0,9625</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5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highlight w:val="white"/>
                <w:rtl w:val="0"/>
              </w:rPr>
              <w:t xml:space="preserve">0,9799</w:t>
            </w:r>
            <w:r w:rsidDel="00000000" w:rsidR="00000000" w:rsidRPr="00000000">
              <w:rPr>
                <w:rtl w:val="0"/>
              </w:rPr>
            </w:r>
          </w:p>
        </w:tc>
      </w:tr>
      <w:tr>
        <w:trPr>
          <w:cantSplit w:val="0"/>
          <w:tblHeader w:val="0"/>
        </w:trPr>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51">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highlight w:val="white"/>
                <w:rtl w:val="0"/>
              </w:rPr>
              <w:t xml:space="preserve">AdaBoost</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5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highlight w:val="white"/>
                <w:rtl w:val="0"/>
              </w:rPr>
              <w:t xml:space="preserve">0,7073</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53">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highlight w:val="white"/>
                <w:rtl w:val="0"/>
              </w:rPr>
              <w:t xml:space="preserve">0,7485</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54">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highlight w:val="white"/>
                <w:rtl w:val="0"/>
              </w:rPr>
              <w:t xml:space="preserve">0,5290</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55">
            <w:pPr>
              <w:spacing w:after="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0"/>
                <w:sz w:val="20"/>
                <w:szCs w:val="20"/>
                <w:highlight w:val="white"/>
                <w:rtl w:val="0"/>
              </w:rPr>
              <w:t xml:space="preserve">0,5684</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5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highlight w:val="white"/>
                <w:rtl w:val="0"/>
              </w:rPr>
              <w:t xml:space="preserve">0,9350</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tcMar>
              <w:top w:w="40.0" w:type="dxa"/>
              <w:left w:w="80.0" w:type="dxa"/>
              <w:bottom w:w="40.0" w:type="dxa"/>
              <w:right w:w="80.0" w:type="dxa"/>
            </w:tcMar>
            <w:vAlign w:val="center"/>
          </w:tcPr>
          <w:p w:rsidR="00000000" w:rsidDel="00000000" w:rsidP="00000000" w:rsidRDefault="00000000" w:rsidRPr="00000000" w14:paraId="00000057">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highlight w:val="white"/>
                <w:rtl w:val="0"/>
              </w:rPr>
              <w:t xml:space="preserve">0,9599</w:t>
            </w:r>
            <w:r w:rsidDel="00000000" w:rsidR="00000000" w:rsidRPr="00000000">
              <w:rPr>
                <w:rtl w:val="0"/>
              </w:rPr>
            </w:r>
          </w:p>
        </w:tc>
      </w:tr>
    </w:tbl>
    <w:p w:rsidR="00000000" w:rsidDel="00000000" w:rsidP="00000000" w:rsidRDefault="00000000" w:rsidRPr="00000000" w14:paraId="00000058">
      <w:pPr>
        <w:spacing w:after="0" w:line="360" w:lineRule="auto"/>
        <w:ind w:firstLine="56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Вычислительные эксперименты. </w:t>
      </w:r>
      <w:r w:rsidDel="00000000" w:rsidR="00000000" w:rsidRPr="00000000">
        <w:rPr>
          <w:rFonts w:ascii="Times New Roman" w:cs="Times New Roman" w:eastAsia="Times New Roman" w:hAnsi="Times New Roman"/>
          <w:color w:val="000000"/>
          <w:sz w:val="20"/>
          <w:szCs w:val="20"/>
          <w:rtl w:val="0"/>
        </w:rPr>
        <w:t xml:space="preserve">Мы разделили исходный набор данных на обучающую (</w:t>
      </w:r>
      <w:r w:rsidDel="00000000" w:rsidR="00000000" w:rsidRPr="00000000">
        <w:rPr>
          <w:rFonts w:ascii="Times New Roman" w:cs="Times New Roman" w:eastAsia="Times New Roman" w:hAnsi="Times New Roman"/>
          <w:color w:val="000000"/>
          <w:sz w:val="20"/>
          <w:szCs w:val="20"/>
          <w:highlight w:val="white"/>
          <w:rtl w:val="0"/>
        </w:rPr>
        <w:t xml:space="preserve">train</w:t>
      </w:r>
      <w:r w:rsidDel="00000000" w:rsidR="00000000" w:rsidRPr="00000000">
        <w:rPr>
          <w:rFonts w:ascii="Times New Roman" w:cs="Times New Roman" w:eastAsia="Times New Roman" w:hAnsi="Times New Roman"/>
          <w:color w:val="000000"/>
          <w:sz w:val="20"/>
          <w:szCs w:val="20"/>
          <w:rtl w:val="0"/>
        </w:rPr>
        <w:t xml:space="preserve">) и тестовую (test) выборки в пропорции 70/30 и применили различные классификаторы. Результаты работы классификаторов приведены в Таблице 1. Бинарная классификация показывает удовлетворительные результаты: доля правильно классифицированных объектов на тестовой выборке не опускается ниже 0,7. При этом качество классификации исходного набора данных на </w:t>
      </w:r>
      <w:r w:rsidDel="00000000" w:rsidR="00000000" w:rsidRPr="00000000">
        <w:rPr>
          <w:rFonts w:ascii="Times New Roman" w:cs="Times New Roman" w:eastAsia="Times New Roman" w:hAnsi="Times New Roman"/>
          <w:sz w:val="20"/>
          <w:szCs w:val="20"/>
          <w:rtl w:val="0"/>
        </w:rPr>
        <w:t xml:space="preserve">обучающей </w:t>
      </w:r>
      <w:r w:rsidDel="00000000" w:rsidR="00000000" w:rsidRPr="00000000">
        <w:rPr>
          <w:rFonts w:ascii="Times New Roman" w:cs="Times New Roman" w:eastAsia="Times New Roman" w:hAnsi="Times New Roman"/>
          <w:color w:val="000000"/>
          <w:sz w:val="20"/>
          <w:szCs w:val="20"/>
          <w:rtl w:val="0"/>
        </w:rPr>
        <w:t xml:space="preserve">выборке колебался от 0,5684 (</w:t>
      </w:r>
      <w:r w:rsidDel="00000000" w:rsidR="00000000" w:rsidRPr="00000000">
        <w:rPr>
          <w:rFonts w:ascii="Times New Roman" w:cs="Times New Roman" w:eastAsia="Times New Roman" w:hAnsi="Times New Roman"/>
          <w:color w:val="000000"/>
          <w:sz w:val="20"/>
          <w:szCs w:val="20"/>
          <w:highlight w:val="white"/>
          <w:rtl w:val="0"/>
        </w:rPr>
        <w:t xml:space="preserve">AdaBoost</w:t>
      </w:r>
      <w:r w:rsidDel="00000000" w:rsidR="00000000" w:rsidRPr="00000000">
        <w:rPr>
          <w:rFonts w:ascii="Times New Roman" w:cs="Times New Roman" w:eastAsia="Times New Roman" w:hAnsi="Times New Roman"/>
          <w:color w:val="000000"/>
          <w:sz w:val="20"/>
          <w:szCs w:val="20"/>
          <w:rtl w:val="0"/>
        </w:rPr>
        <w:t xml:space="preserve">) до 0,9559 (</w:t>
      </w:r>
      <w:r w:rsidDel="00000000" w:rsidR="00000000" w:rsidRPr="00000000">
        <w:rPr>
          <w:rFonts w:ascii="Times New Roman" w:cs="Times New Roman" w:eastAsia="Times New Roman" w:hAnsi="Times New Roman"/>
          <w:color w:val="000000"/>
          <w:sz w:val="20"/>
          <w:szCs w:val="20"/>
          <w:highlight w:val="white"/>
          <w:rtl w:val="0"/>
        </w:rPr>
        <w:t xml:space="preserve">ExtraTrees</w:t>
      </w:r>
      <w:r w:rsidDel="00000000" w:rsidR="00000000" w:rsidRPr="00000000">
        <w:rPr>
          <w:rFonts w:ascii="Times New Roman" w:cs="Times New Roman" w:eastAsia="Times New Roman" w:hAnsi="Times New Roman"/>
          <w:color w:val="000000"/>
          <w:sz w:val="20"/>
          <w:szCs w:val="20"/>
          <w:rtl w:val="0"/>
        </w:rPr>
        <w:t xml:space="preserve">) и существенно падает на тестовой выборке, вплоть до </w:t>
      </w:r>
      <w:r w:rsidDel="00000000" w:rsidR="00000000" w:rsidRPr="00000000">
        <w:rPr>
          <w:rFonts w:ascii="Times New Roman" w:cs="Times New Roman" w:eastAsia="Times New Roman" w:hAnsi="Times New Roman"/>
          <w:color w:val="000000"/>
          <w:sz w:val="20"/>
          <w:szCs w:val="20"/>
          <w:highlight w:val="white"/>
          <w:rtl w:val="0"/>
        </w:rPr>
        <w:t xml:space="preserve">0,5290.</w:t>
      </w:r>
      <w:r w:rsidDel="00000000" w:rsidR="00000000" w:rsidRPr="00000000">
        <w:rPr>
          <w:rFonts w:ascii="Times New Roman" w:cs="Times New Roman" w:eastAsia="Times New Roman" w:hAnsi="Times New Roman"/>
          <w:color w:val="000000"/>
          <w:sz w:val="20"/>
          <w:szCs w:val="20"/>
          <w:rtl w:val="0"/>
        </w:rPr>
        <w:t xml:space="preserve"> Возможные причины – недостаточный объем данных для обучения и неспособность классификаторов учитывать наличие порядка в интегральном признаке. Для улучшения результатов классификации мы применили к исходным данным метод </w:t>
      </w:r>
      <w:r w:rsidDel="00000000" w:rsidR="00000000" w:rsidRPr="00000000">
        <w:rPr>
          <w:rFonts w:ascii="Times New Roman" w:cs="Times New Roman" w:eastAsia="Times New Roman" w:hAnsi="Times New Roman"/>
          <w:i w:val="1"/>
          <w:color w:val="000000"/>
          <w:sz w:val="20"/>
          <w:szCs w:val="20"/>
          <w:rtl w:val="0"/>
        </w:rPr>
        <w:t xml:space="preserve">k</w:t>
      </w:r>
      <w:r w:rsidDel="00000000" w:rsidR="00000000" w:rsidRPr="00000000">
        <w:rPr>
          <w:rFonts w:ascii="Times New Roman" w:cs="Times New Roman" w:eastAsia="Times New Roman" w:hAnsi="Times New Roman"/>
          <w:color w:val="000000"/>
          <w:sz w:val="20"/>
          <w:szCs w:val="20"/>
          <w:rtl w:val="0"/>
        </w:rPr>
        <w:t xml:space="preserve">-средних и выделили два кластера с 1179 и 420 элементами соответственно. Как видно из Таблицы 1 многие классификаторы показали абсолютное качество на тренировочной выборке, что свидетельствует о переобучении модели. Дальнейшие эксперименты были проведены с вариацией количества кластеров. Результаты экспериментов с выделением 3, 4, …, 15, 25, 30, 50 кластеров показали, что данная стратегия качественно не влияет на решение задачи классификации. </w:t>
      </w:r>
      <w:r w:rsidDel="00000000" w:rsidR="00000000" w:rsidRPr="00000000">
        <w:rPr>
          <w:rtl w:val="0"/>
        </w:rPr>
      </w:r>
    </w:p>
    <w:p w:rsidR="00000000" w:rsidDel="00000000" w:rsidP="00000000" w:rsidRDefault="00000000" w:rsidRPr="00000000" w14:paraId="00000059">
      <w:pPr>
        <w:spacing w:after="0" w:line="360" w:lineRule="auto"/>
        <w:ind w:firstLine="56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Развивая идею использования кластеров, мы проделали серию экспериментов с использованием случайного леса для решения регрессионной задачи для порядко</w:t>
      </w:r>
      <w:r w:rsidDel="00000000" w:rsidR="00000000" w:rsidRPr="00000000">
        <w:rPr>
          <w:rFonts w:ascii="Times New Roman" w:cs="Times New Roman" w:eastAsia="Times New Roman" w:hAnsi="Times New Roman"/>
          <w:sz w:val="20"/>
          <w:szCs w:val="20"/>
          <w:rtl w:val="0"/>
        </w:rPr>
        <w:t xml:space="preserve">вого признака</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Анализ показал, что три самых значимых признака – </w:t>
      </w:r>
      <w:r w:rsidDel="00000000" w:rsidR="00000000" w:rsidRPr="00000000">
        <w:rPr>
          <w:rFonts w:ascii="Times New Roman" w:cs="Times New Roman" w:eastAsia="Times New Roman" w:hAnsi="Times New Roman"/>
          <w:i w:val="1"/>
          <w:sz w:val="20"/>
          <w:szCs w:val="20"/>
          <w:rtl w:val="0"/>
        </w:rPr>
        <w:t xml:space="preserve">содержание спирта</w:t>
      </w:r>
      <w:r w:rsidDel="00000000" w:rsidR="00000000" w:rsidRPr="00000000">
        <w:rPr>
          <w:rFonts w:ascii="Times New Roman" w:cs="Times New Roman" w:eastAsia="Times New Roman" w:hAnsi="Times New Roman"/>
          <w:sz w:val="20"/>
          <w:szCs w:val="20"/>
          <w:rtl w:val="0"/>
        </w:rPr>
        <w:t xml:space="preserve"> (alcohol), </w:t>
      </w:r>
      <w:r w:rsidDel="00000000" w:rsidR="00000000" w:rsidRPr="00000000">
        <w:rPr>
          <w:rFonts w:ascii="Times New Roman" w:cs="Times New Roman" w:eastAsia="Times New Roman" w:hAnsi="Times New Roman"/>
          <w:i w:val="1"/>
          <w:sz w:val="20"/>
          <w:szCs w:val="20"/>
          <w:rtl w:val="0"/>
        </w:rPr>
        <w:t xml:space="preserve">летучая кислотность</w:t>
      </w:r>
      <w:r w:rsidDel="00000000" w:rsidR="00000000" w:rsidRPr="00000000">
        <w:rPr>
          <w:rFonts w:ascii="Times New Roman" w:cs="Times New Roman" w:eastAsia="Times New Roman" w:hAnsi="Times New Roman"/>
          <w:sz w:val="20"/>
          <w:szCs w:val="20"/>
          <w:rtl w:val="0"/>
        </w:rPr>
        <w:t xml:space="preserve"> (volatile acidity), </w:t>
      </w:r>
      <w:r w:rsidDel="00000000" w:rsidR="00000000" w:rsidRPr="00000000">
        <w:rPr>
          <w:rFonts w:ascii="Times New Roman" w:cs="Times New Roman" w:eastAsia="Times New Roman" w:hAnsi="Times New Roman"/>
          <w:i w:val="1"/>
          <w:sz w:val="20"/>
          <w:szCs w:val="20"/>
          <w:rtl w:val="0"/>
        </w:rPr>
        <w:t xml:space="preserve">сульфаты </w:t>
      </w:r>
      <w:r w:rsidDel="00000000" w:rsidR="00000000" w:rsidRPr="00000000">
        <w:rPr>
          <w:rFonts w:ascii="Times New Roman" w:cs="Times New Roman" w:eastAsia="Times New Roman" w:hAnsi="Times New Roman"/>
          <w:sz w:val="20"/>
          <w:szCs w:val="20"/>
          <w:rtl w:val="0"/>
        </w:rPr>
        <w:t xml:space="preserve">(sulphates). Для построения квантильной регрессии на основании леса [2, 3] </w:t>
      </w:r>
      <w:r w:rsidDel="00000000" w:rsidR="00000000" w:rsidRPr="00000000">
        <w:rPr>
          <w:rFonts w:ascii="Times New Roman" w:cs="Times New Roman" w:eastAsia="Times New Roman" w:hAnsi="Times New Roman"/>
          <w:color w:val="000000"/>
          <w:sz w:val="20"/>
          <w:szCs w:val="20"/>
          <w:rtl w:val="0"/>
        </w:rPr>
        <w:t xml:space="preserve">мы испол</w:t>
      </w:r>
      <w:r w:rsidDel="00000000" w:rsidR="00000000" w:rsidRPr="00000000">
        <w:rPr>
          <w:rFonts w:ascii="Times New Roman" w:cs="Times New Roman" w:eastAsia="Times New Roman" w:hAnsi="Times New Roman"/>
          <w:sz w:val="20"/>
          <w:szCs w:val="20"/>
          <w:rtl w:val="0"/>
        </w:rPr>
        <w:t xml:space="preserve">ьзовали в качестве регрессора – </w:t>
      </w:r>
      <w:r w:rsidDel="00000000" w:rsidR="00000000" w:rsidRPr="00000000">
        <w:rPr>
          <w:rFonts w:ascii="Times New Roman" w:cs="Times New Roman" w:eastAsia="Times New Roman" w:hAnsi="Times New Roman"/>
          <w:i w:val="1"/>
          <w:sz w:val="20"/>
          <w:szCs w:val="20"/>
          <w:rtl w:val="0"/>
        </w:rPr>
        <w:t xml:space="preserve">содержание спирта</w:t>
      </w:r>
      <w:r w:rsidDel="00000000" w:rsidR="00000000" w:rsidRPr="00000000">
        <w:rPr>
          <w:rFonts w:ascii="Times New Roman" w:cs="Times New Roman" w:eastAsia="Times New Roman" w:hAnsi="Times New Roman"/>
          <w:sz w:val="20"/>
          <w:szCs w:val="20"/>
          <w:rtl w:val="0"/>
        </w:rPr>
        <w:t xml:space="preserve"> (alcohol),</w:t>
      </w:r>
      <w:r w:rsidDel="00000000" w:rsidR="00000000" w:rsidRPr="00000000">
        <w:rPr>
          <w:rFonts w:ascii="Times New Roman" w:cs="Times New Roman" w:eastAsia="Times New Roman" w:hAnsi="Times New Roman"/>
          <w:color w:val="000000"/>
          <w:sz w:val="20"/>
          <w:szCs w:val="20"/>
          <w:rtl w:val="0"/>
        </w:rPr>
        <w:t xml:space="preserve"> ко</w:t>
      </w:r>
      <w:r w:rsidDel="00000000" w:rsidR="00000000" w:rsidRPr="00000000">
        <w:rPr>
          <w:rFonts w:ascii="Times New Roman" w:cs="Times New Roman" w:eastAsia="Times New Roman" w:hAnsi="Times New Roman"/>
          <w:sz w:val="20"/>
          <w:szCs w:val="20"/>
          <w:rtl w:val="0"/>
        </w:rPr>
        <w:t xml:space="preserve">торый </w:t>
      </w:r>
      <w:r w:rsidDel="00000000" w:rsidR="00000000" w:rsidRPr="00000000">
        <w:rPr>
          <w:rFonts w:ascii="Times New Roman" w:cs="Times New Roman" w:eastAsia="Times New Roman" w:hAnsi="Times New Roman"/>
          <w:color w:val="000000"/>
          <w:sz w:val="20"/>
          <w:szCs w:val="20"/>
          <w:rtl w:val="0"/>
        </w:rPr>
        <w:t xml:space="preserve">принимает вещественные значения из интервала [8,4</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1</w:t>
      </w:r>
      <w:r w:rsidDel="00000000" w:rsidR="00000000" w:rsidRPr="00000000">
        <w:rPr>
          <w:rFonts w:ascii="Times New Roman" w:cs="Times New Roman" w:eastAsia="Times New Roman" w:hAnsi="Times New Roman"/>
          <w:sz w:val="20"/>
          <w:szCs w:val="20"/>
          <w:rtl w:val="0"/>
        </w:rPr>
        <w:t xml:space="preserve">4,9</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M=10,42, SD=1,06 (рис. 2а)</w:t>
      </w:r>
      <w:r w:rsidDel="00000000" w:rsidR="00000000" w:rsidRPr="00000000">
        <w:rPr>
          <w:rFonts w:ascii="Times New Roman" w:cs="Times New Roman" w:eastAsia="Times New Roman" w:hAnsi="Times New Roman"/>
          <w:color w:val="000000"/>
          <w:sz w:val="20"/>
          <w:szCs w:val="20"/>
          <w:rtl w:val="0"/>
        </w:rPr>
        <w:t xml:space="preserve">. Ана</w:t>
      </w:r>
      <w:r w:rsidDel="00000000" w:rsidR="00000000" w:rsidRPr="00000000">
        <w:rPr>
          <w:rFonts w:ascii="Times New Roman" w:cs="Times New Roman" w:eastAsia="Times New Roman" w:hAnsi="Times New Roman"/>
          <w:sz w:val="20"/>
          <w:szCs w:val="20"/>
          <w:rtl w:val="0"/>
        </w:rPr>
        <w:t xml:space="preserve">лиз влияния выбранного регрессора на порядковую переменную </w:t>
      </w:r>
      <w:r w:rsidDel="00000000" w:rsidR="00000000" w:rsidRPr="00000000">
        <w:rPr>
          <w:rFonts w:ascii="Times New Roman" w:cs="Times New Roman" w:eastAsia="Times New Roman" w:hAnsi="Times New Roman"/>
          <w:i w:val="1"/>
          <w:sz w:val="20"/>
          <w:szCs w:val="20"/>
          <w:rtl w:val="0"/>
        </w:rPr>
        <w:t xml:space="preserve">качество </w:t>
      </w:r>
      <w:r w:rsidDel="00000000" w:rsidR="00000000" w:rsidRPr="00000000">
        <w:rPr>
          <w:rFonts w:ascii="Times New Roman" w:cs="Times New Roman" w:eastAsia="Times New Roman" w:hAnsi="Times New Roman"/>
          <w:sz w:val="20"/>
          <w:szCs w:val="20"/>
          <w:rtl w:val="0"/>
        </w:rPr>
        <w:t xml:space="preserve">показал, что качественное изменения распределения происходит в квантильных точках 0,1, 0,4 и 0,7 (рис. 2б). </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A">
      <w:pPr>
        <w:spacing w:after="0" w:line="360" w:lineRule="auto"/>
        <w:ind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59140" cy="184150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5914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0"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Рис. 2. Квантильная регрессия на основании леса из 500 деревьев с доверительным интервалом (а) и зависимость качества для различных уровней регрессора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содержание спирта: 8, 11, 15 % (б)</w:t>
      </w:r>
    </w:p>
    <w:p w:rsidR="00000000" w:rsidDel="00000000" w:rsidP="00000000" w:rsidRDefault="00000000" w:rsidRPr="00000000" w14:paraId="0000005C">
      <w:pPr>
        <w:spacing w:after="0" w:line="360" w:lineRule="auto"/>
        <w:ind w:firstLine="56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Заключение. </w:t>
      </w:r>
      <w:r w:rsidDel="00000000" w:rsidR="00000000" w:rsidRPr="00000000">
        <w:rPr>
          <w:rFonts w:ascii="Times New Roman" w:cs="Times New Roman" w:eastAsia="Times New Roman" w:hAnsi="Times New Roman"/>
          <w:sz w:val="20"/>
          <w:szCs w:val="20"/>
          <w:rtl w:val="0"/>
        </w:rPr>
        <w:t xml:space="preserve">Решение задач классификации и регрессии для результирующего признака, измеренного в порядковой шкале имеет свои особенности, которые нужно учитывать при выборе моделей машинного обучения. Для настройки параметров классификаторов и моделей регрессии требуется проведение дальнейших исследований. </w:t>
      </w:r>
    </w:p>
    <w:p w:rsidR="00000000" w:rsidDel="00000000" w:rsidP="00000000" w:rsidRDefault="00000000" w:rsidRPr="00000000" w14:paraId="0000005D">
      <w:pPr>
        <w:spacing w:after="0" w:line="360" w:lineRule="auto"/>
        <w:ind w:firstLine="708"/>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СПИСОК ЛИТЕРАТУРЫ</w:t>
      </w:r>
    </w:p>
    <w:p w:rsidR="00000000" w:rsidDel="00000000" w:rsidP="00000000" w:rsidRDefault="00000000" w:rsidRPr="00000000" w14:paraId="0000005E">
      <w:pPr>
        <w:spacing w:after="0" w:line="36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Cortez </w:t>
      </w:r>
      <w:r w:rsidDel="00000000" w:rsidR="00000000" w:rsidRPr="00000000">
        <w:rPr>
          <w:rFonts w:ascii="Times New Roman" w:cs="Times New Roman" w:eastAsia="Times New Roman" w:hAnsi="Times New Roman"/>
          <w:color w:val="000000"/>
          <w:sz w:val="20"/>
          <w:szCs w:val="20"/>
          <w:rtl w:val="0"/>
        </w:rPr>
        <w:t xml:space="preserve">P., Cerdeira </w:t>
      </w: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color w:val="000000"/>
          <w:sz w:val="20"/>
          <w:szCs w:val="20"/>
          <w:rtl w:val="0"/>
        </w:rPr>
        <w:t xml:space="preserve">, Almeida </w:t>
      </w: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Fonts w:ascii="Times New Roman" w:cs="Times New Roman" w:eastAsia="Times New Roman" w:hAnsi="Times New Roman"/>
          <w:color w:val="000000"/>
          <w:sz w:val="20"/>
          <w:szCs w:val="20"/>
          <w:rtl w:val="0"/>
        </w:rPr>
        <w:t xml:space="preserve">, Matos </w:t>
      </w:r>
      <w:r w:rsidDel="00000000" w:rsidR="00000000" w:rsidRPr="00000000">
        <w:rPr>
          <w:rFonts w:ascii="Times New Roman" w:cs="Times New Roman" w:eastAsia="Times New Roman" w:hAnsi="Times New Roman"/>
          <w:sz w:val="20"/>
          <w:szCs w:val="20"/>
          <w:rtl w:val="0"/>
        </w:rPr>
        <w:t xml:space="preserve">T.</w:t>
      </w:r>
      <w:r w:rsidDel="00000000" w:rsidR="00000000" w:rsidRPr="00000000">
        <w:rPr>
          <w:rFonts w:ascii="Times New Roman" w:cs="Times New Roman" w:eastAsia="Times New Roman" w:hAnsi="Times New Roman"/>
          <w:color w:val="000000"/>
          <w:sz w:val="20"/>
          <w:szCs w:val="20"/>
          <w:rtl w:val="0"/>
        </w:rPr>
        <w:t xml:space="preserve"> and Reis </w:t>
      </w:r>
      <w:r w:rsidDel="00000000" w:rsidR="00000000" w:rsidRPr="00000000">
        <w:rPr>
          <w:rFonts w:ascii="Times New Roman" w:cs="Times New Roman" w:eastAsia="Times New Roman" w:hAnsi="Times New Roman"/>
          <w:sz w:val="20"/>
          <w:szCs w:val="20"/>
          <w:rtl w:val="0"/>
        </w:rPr>
        <w:t xml:space="preserve">J.</w:t>
      </w:r>
      <w:r w:rsidDel="00000000" w:rsidR="00000000" w:rsidRPr="00000000">
        <w:rPr>
          <w:rFonts w:ascii="Times New Roman" w:cs="Times New Roman" w:eastAsia="Times New Roman" w:hAnsi="Times New Roman"/>
          <w:color w:val="000000"/>
          <w:sz w:val="20"/>
          <w:szCs w:val="20"/>
          <w:rtl w:val="0"/>
        </w:rPr>
        <w:t xml:space="preserve"> Modeling wine preferences by data mining from physicochemical properties. In Decision Support Systems, Elsevier, 2009. – 47(4). – pp. 547-553. </w:t>
      </w:r>
      <w:r w:rsidDel="00000000" w:rsidR="00000000" w:rsidRPr="00000000">
        <w:rPr>
          <w:rtl w:val="0"/>
        </w:rPr>
      </w:r>
    </w:p>
    <w:p w:rsidR="00000000" w:rsidDel="00000000" w:rsidP="00000000" w:rsidRDefault="00000000" w:rsidRPr="00000000" w14:paraId="0000005F">
      <w:pPr>
        <w:spacing w:after="0" w:line="360" w:lineRule="auto"/>
        <w:ind w:left="0"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color w:val="000000"/>
          <w:sz w:val="20"/>
          <w:szCs w:val="20"/>
          <w:rtl w:val="0"/>
        </w:rPr>
        <w:t xml:space="preserve">Strobl C., Malley J., Tutz G. An introduction to recursive partitioning: rationale, application, and characteristics of classification and regression trees, bagging, and random forests. Psychol Methods, 2009. – 14(4). – pp. 323-48. </w:t>
      </w:r>
    </w:p>
    <w:p w:rsidR="00000000" w:rsidDel="00000000" w:rsidP="00000000" w:rsidRDefault="00000000" w:rsidRPr="00000000" w14:paraId="00000060">
      <w:pPr>
        <w:spacing w:after="0" w:line="36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Meinshausen N., Ridgeway G. Quantile Regression Forests. J. Mach. Learn. Res, 2006. – 7. – pp. 984–987.</w:t>
      </w:r>
    </w:p>
    <w:sectPr>
      <w:pgSz w:h="16838" w:w="11906" w:orient="portrait"/>
      <w:pgMar w:bottom="1418" w:top="1418"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rmal (Web)"/>
    <w:basedOn w:val="a"/>
    <w:uiPriority w:val="99"/>
    <w:semiHidden w:val="1"/>
    <w:unhideWhenUsed w:val="1"/>
    <w:rsid w:val="00810357"/>
    <w:pPr>
      <w:spacing w:after="100" w:afterAutospacing="1" w:before="100" w:beforeAutospacing="1" w:line="240" w:lineRule="auto"/>
    </w:pPr>
    <w:rPr>
      <w:rFonts w:ascii="Times New Roman" w:cs="Times New Roman" w:eastAsia="Times New Roman" w:hAnsi="Times New Roman"/>
      <w:sz w:val="24"/>
      <w:szCs w:val="24"/>
    </w:rPr>
  </w:style>
  <w:style w:type="character" w:styleId="a4">
    <w:name w:val="Hyperlink"/>
    <w:basedOn w:val="a0"/>
    <w:uiPriority w:val="99"/>
    <w:semiHidden w:val="1"/>
    <w:unhideWhenUsed w:val="1"/>
    <w:rsid w:val="00810357"/>
    <w:rPr>
      <w:color w:val="0000ff"/>
      <w:u w:val="single"/>
    </w:rPr>
  </w:style>
  <w:style w:type="character" w:styleId="qv3wpe" w:customStyle="1">
    <w:name w:val="qv3wpe"/>
    <w:basedOn w:val="a0"/>
    <w:rsid w:val="00503413"/>
  </w:style>
  <w:style w:type="character" w:styleId="a5">
    <w:name w:val="annotation reference"/>
    <w:basedOn w:val="a0"/>
    <w:uiPriority w:val="99"/>
    <w:semiHidden w:val="1"/>
    <w:unhideWhenUsed w:val="1"/>
    <w:rsid w:val="00354404"/>
    <w:rPr>
      <w:sz w:val="16"/>
      <w:szCs w:val="16"/>
    </w:rPr>
  </w:style>
  <w:style w:type="paragraph" w:styleId="a6">
    <w:name w:val="annotation text"/>
    <w:basedOn w:val="a"/>
    <w:link w:val="a7"/>
    <w:uiPriority w:val="99"/>
    <w:semiHidden w:val="1"/>
    <w:unhideWhenUsed w:val="1"/>
    <w:rsid w:val="00354404"/>
    <w:pPr>
      <w:spacing w:line="240" w:lineRule="auto"/>
    </w:pPr>
    <w:rPr>
      <w:sz w:val="20"/>
      <w:szCs w:val="20"/>
    </w:rPr>
  </w:style>
  <w:style w:type="character" w:styleId="a7" w:customStyle="1">
    <w:name w:val="Текст примечания Знак"/>
    <w:basedOn w:val="a0"/>
    <w:link w:val="a6"/>
    <w:uiPriority w:val="99"/>
    <w:semiHidden w:val="1"/>
    <w:rsid w:val="00354404"/>
    <w:rPr>
      <w:sz w:val="20"/>
      <w:szCs w:val="20"/>
    </w:rPr>
  </w:style>
  <w:style w:type="paragraph" w:styleId="a8">
    <w:name w:val="annotation subject"/>
    <w:basedOn w:val="a6"/>
    <w:next w:val="a6"/>
    <w:link w:val="a9"/>
    <w:uiPriority w:val="99"/>
    <w:semiHidden w:val="1"/>
    <w:unhideWhenUsed w:val="1"/>
    <w:rsid w:val="00354404"/>
    <w:rPr>
      <w:b w:val="1"/>
      <w:bCs w:val="1"/>
    </w:rPr>
  </w:style>
  <w:style w:type="character" w:styleId="a9" w:customStyle="1">
    <w:name w:val="Тема примечания Знак"/>
    <w:basedOn w:val="a7"/>
    <w:link w:val="a8"/>
    <w:uiPriority w:val="99"/>
    <w:semiHidden w:val="1"/>
    <w:rsid w:val="00354404"/>
    <w:rPr>
      <w:b w:val="1"/>
      <w:bCs w:val="1"/>
      <w:sz w:val="20"/>
      <w:szCs w:val="20"/>
    </w:rPr>
  </w:style>
  <w:style w:type="paragraph" w:styleId="aa">
    <w:name w:val="Balloon Text"/>
    <w:basedOn w:val="a"/>
    <w:link w:val="ab"/>
    <w:uiPriority w:val="99"/>
    <w:semiHidden w:val="1"/>
    <w:unhideWhenUsed w:val="1"/>
    <w:rsid w:val="00354404"/>
    <w:pPr>
      <w:spacing w:after="0" w:line="240" w:lineRule="auto"/>
    </w:pPr>
    <w:rPr>
      <w:rFonts w:ascii="Segoe UI" w:cs="Segoe UI" w:hAnsi="Segoe UI"/>
      <w:sz w:val="18"/>
      <w:szCs w:val="18"/>
    </w:rPr>
  </w:style>
  <w:style w:type="character" w:styleId="ab" w:customStyle="1">
    <w:name w:val="Текст выноски Знак"/>
    <w:basedOn w:val="a0"/>
    <w:link w:val="aa"/>
    <w:uiPriority w:val="99"/>
    <w:semiHidden w:val="1"/>
    <w:rsid w:val="00354404"/>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dar27@tpu.ru" TargetMode="External"/><Relationship Id="rId8" Type="http://schemas.openxmlformats.org/officeDocument/2006/relationships/hyperlink" Target="mailto:dar27@tpu.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L6CCKrj48QxhrN8Cbi3xsnBxlg==">AMUW2mWFh0KRJQT343yLG+ALvf/VVaxCbnltbUALfsJta33PS9GlHXrFC8gDhyFz3adWBnp0gVw0MGUznHZT+Y4rAS8YuhG2xbJSJeH5d6VALltoNtrsxHTgmgLwSKKXe7GEKnXK7HYU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2022-03-25T10:03:00Z</dcterms:created>
  <dc:creator>Пользователь</dc:creator>
</cp:coreProperties>
</file>