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FD30" w14:textId="77777777" w:rsidR="00297184" w:rsidRDefault="00D721BA">
      <w:pPr>
        <w:spacing w:before="240" w:line="360" w:lineRule="auto"/>
        <w:jc w:val="both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История версий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97184" w14:paraId="65F8BE3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1506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Имя автора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40F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Дата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85D7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Описание изменений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6D0E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Версия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BE20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Примечание</w:t>
            </w:r>
          </w:p>
        </w:tc>
      </w:tr>
      <w:tr w:rsidR="00297184" w14:paraId="240FF14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659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Тетёркин</w:t>
            </w:r>
            <w:proofErr w:type="spellEnd"/>
            <w:r>
              <w:rPr>
                <w:color w:val="222222"/>
                <w:highlight w:val="white"/>
              </w:rPr>
              <w:t xml:space="preserve"> Д.А.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70F9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05.11.2019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DF9E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создана первая версия документа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7E40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V_01.00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2C86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</w:tr>
      <w:tr w:rsidR="00297184" w14:paraId="2BA0406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765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Тетёркин</w:t>
            </w:r>
            <w:proofErr w:type="spellEnd"/>
            <w:r>
              <w:rPr>
                <w:color w:val="222222"/>
                <w:highlight w:val="white"/>
              </w:rPr>
              <w:t xml:space="preserve"> Д.А.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1A76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12.11.2019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EA7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Доработано описание отрасли.</w:t>
            </w:r>
          </w:p>
          <w:p w14:paraId="5859FF7D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Создана вторая версия документа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43B7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V_02.00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D23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</w:tr>
      <w:tr w:rsidR="00297184" w14:paraId="0C3AE5A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3E0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B267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04F0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5E34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C3C3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</w:p>
        </w:tc>
      </w:tr>
    </w:tbl>
    <w:p w14:paraId="4A8850DE" w14:textId="25DBB923" w:rsidR="00D721BA" w:rsidRPr="00D721BA" w:rsidRDefault="00D721BA" w:rsidP="00D721BA">
      <w:pPr>
        <w:spacing w:before="240" w:line="360" w:lineRule="auto"/>
        <w:jc w:val="both"/>
        <w:rPr>
          <w:b/>
          <w:color w:val="222222"/>
          <w:sz w:val="24"/>
          <w:szCs w:val="24"/>
          <w:highlight w:val="white"/>
          <w:lang w:val="ru-RU"/>
        </w:rPr>
      </w:pPr>
      <w:bookmarkStart w:id="0" w:name="_GoBack"/>
      <w:bookmarkEnd w:id="0"/>
      <w:r>
        <w:rPr>
          <w:b/>
          <w:color w:val="222222"/>
          <w:sz w:val="24"/>
          <w:szCs w:val="24"/>
          <w:highlight w:val="white"/>
          <w:lang w:val="ru-RU"/>
        </w:rPr>
        <w:t>Возможности бизнеса и нужды клиентов</w:t>
      </w:r>
    </w:p>
    <w:p w14:paraId="6A932665" w14:textId="77777777" w:rsidR="00297184" w:rsidRDefault="00D721BA">
      <w:pPr>
        <w:spacing w:before="240" w:line="360" w:lineRule="auto"/>
        <w:ind w:firstLine="680"/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Отрасль:</w:t>
      </w:r>
      <w:r>
        <w:rPr>
          <w:color w:val="222222"/>
          <w:sz w:val="24"/>
          <w:szCs w:val="24"/>
          <w:highlight w:val="white"/>
        </w:rPr>
        <w:t xml:space="preserve"> Курсы подготовки специалистов для работы в сфере государственных закупок Российской Федерации (далее РФ).</w:t>
      </w:r>
    </w:p>
    <w:p w14:paraId="2A34D10D" w14:textId="77777777" w:rsidR="00297184" w:rsidRDefault="00D721BA">
      <w:pPr>
        <w:spacing w:before="240" w:line="360" w:lineRule="auto"/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Описание рынка</w:t>
      </w:r>
    </w:p>
    <w:p w14:paraId="4744A9D4" w14:textId="77777777" w:rsidR="00297184" w:rsidRDefault="00D721BA">
      <w:pPr>
        <w:spacing w:before="240" w:line="360" w:lineRule="auto"/>
        <w:ind w:firstLine="68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Деятельность поставщиков и покупателей в сфере закупок для государственных и муниципальных нужд регулируется законами РФ: “О контрактн</w:t>
      </w:r>
      <w:r>
        <w:rPr>
          <w:color w:val="222222"/>
          <w:sz w:val="24"/>
          <w:szCs w:val="24"/>
          <w:highlight w:val="white"/>
        </w:rPr>
        <w:t>ой системе в сфере закупок товаров, работ, услуг для обеспечения государственных и муниципальных нужд” (№ 44-ФЗ) и “О закупках товаров, работ, услуг отдельными видами юридических лиц” (№ 223). Также, закон № 44-ФЗ устанавливает требование о необходимости н</w:t>
      </w:r>
      <w:r>
        <w:rPr>
          <w:color w:val="222222"/>
          <w:sz w:val="24"/>
          <w:szCs w:val="24"/>
          <w:highlight w:val="white"/>
        </w:rPr>
        <w:t>аличия у контрактных управляющих и работников контрактных служб, членов закупочных комиссий соответствующего образования в сфере закупок. В соответствии с п. 2.8 Методических рекомендаций по реализации дополнительных профессиональных программ повышения ква</w:t>
      </w:r>
      <w:r>
        <w:rPr>
          <w:color w:val="222222"/>
          <w:sz w:val="24"/>
          <w:szCs w:val="24"/>
          <w:highlight w:val="white"/>
        </w:rPr>
        <w:t>лификации в сфере закупок Министерства экономического развития РФ обучение в сфере закупок рекомендуется проводить по мере необходимости, но не реже, чем каждые три года для всех категорий обучающихся.</w:t>
      </w:r>
    </w:p>
    <w:p w14:paraId="3033F625" w14:textId="77777777" w:rsidR="00297184" w:rsidRDefault="00D721BA">
      <w:pPr>
        <w:spacing w:before="240" w:line="360" w:lineRule="auto"/>
        <w:ind w:firstLine="68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Таким образом, предприятия, которые желают вести деяте</w:t>
      </w:r>
      <w:r>
        <w:rPr>
          <w:color w:val="222222"/>
          <w:sz w:val="24"/>
          <w:szCs w:val="24"/>
          <w:highlight w:val="white"/>
        </w:rPr>
        <w:t xml:space="preserve">льность в сфере госзакупок, должны привлекать (или обучать своих) специалистов с образованием в сфере закупок. Необходимость подготовки и последующей </w:t>
      </w:r>
      <w:r>
        <w:rPr>
          <w:color w:val="222222"/>
          <w:sz w:val="24"/>
          <w:szCs w:val="24"/>
          <w:highlight w:val="white"/>
        </w:rPr>
        <w:lastRenderedPageBreak/>
        <w:t>периодической переподготовки специалистов вызвана как изменениями законодательства, новыми нормативными до</w:t>
      </w:r>
      <w:r>
        <w:rPr>
          <w:color w:val="222222"/>
          <w:sz w:val="24"/>
          <w:szCs w:val="24"/>
          <w:highlight w:val="white"/>
        </w:rPr>
        <w:t xml:space="preserve">кументами, так и законодательными нормами, в частности пункт 2.8  Методических рекомендаций по реализации дополнительных профессиональных программ повышения квалификации в сфере закупок Министерства экономического развития РФ говорит о том, что обучение в </w:t>
      </w:r>
      <w:r>
        <w:rPr>
          <w:color w:val="222222"/>
          <w:sz w:val="24"/>
          <w:szCs w:val="24"/>
          <w:highlight w:val="white"/>
        </w:rPr>
        <w:t>сфере закупок рекомендуется проводить по мере необходимости, но не реже, чем каждые три года для всех категорий обучающихся.</w:t>
      </w:r>
    </w:p>
    <w:p w14:paraId="5476B1E5" w14:textId="77777777" w:rsidR="00297184" w:rsidRDefault="00D721BA">
      <w:pPr>
        <w:spacing w:before="240" w:line="360" w:lineRule="auto"/>
        <w:ind w:firstLine="68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По данным единой информационной системы в сфере закупок (далее – ЕИС), на 31.12.2018 года в системе было зарегистрировано 289 687 з</w:t>
      </w:r>
      <w:r>
        <w:rPr>
          <w:color w:val="222222"/>
          <w:sz w:val="24"/>
          <w:szCs w:val="24"/>
          <w:highlight w:val="white"/>
        </w:rPr>
        <w:t xml:space="preserve">аказчиков, из которых 71,1% являются заказчиками муниципального уровня, 19,4% - заказчиками уровня субъекта Российской Федерации, 9,5 % - федеральные заказчики. </w:t>
      </w:r>
    </w:p>
    <w:p w14:paraId="689390D4" w14:textId="77777777" w:rsidR="00297184" w:rsidRDefault="00D721BA">
      <w:pPr>
        <w:spacing w:before="240" w:line="360" w:lineRule="auto"/>
        <w:ind w:firstLine="68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И в организации-покупателе, и в организации-поставщике, как правило, государственными закупкам</w:t>
      </w:r>
      <w:r>
        <w:rPr>
          <w:color w:val="222222"/>
          <w:sz w:val="24"/>
          <w:szCs w:val="24"/>
          <w:highlight w:val="white"/>
        </w:rPr>
        <w:t>и занимается несколько сотрудников, поэтому количество работников, которым необходимо периодически проходить обучение, можно приблизительно считать равным 700 тысячам человек.</w:t>
      </w:r>
    </w:p>
    <w:p w14:paraId="002811C7" w14:textId="77777777" w:rsidR="00297184" w:rsidRDefault="00D721BA">
      <w:pPr>
        <w:spacing w:before="24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Основные игроки на рынке</w:t>
      </w:r>
    </w:p>
    <w:p w14:paraId="1C3E9CF8" w14:textId="77777777" w:rsidR="00297184" w:rsidRDefault="00D721BA">
      <w:pPr>
        <w:spacing w:before="24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Основным способом получения образования в сфере госзакупок является прохождение курсов и получение аттестата государственного образца.</w:t>
      </w:r>
    </w:p>
    <w:p w14:paraId="291886E0" w14:textId="77777777" w:rsidR="00297184" w:rsidRDefault="00D721BA">
      <w:pPr>
        <w:spacing w:before="24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Рынок услуг по получению образования в сфере госзакупок условно можно разделить на две части. Первая часть, это крупные и</w:t>
      </w:r>
      <w:r>
        <w:rPr>
          <w:sz w:val="24"/>
          <w:szCs w:val="24"/>
        </w:rPr>
        <w:t>гроки на рынке – известные образовательные центры и организации, которые имеют ресурсы и возможность содержать штат экспертов, следящих за изменениями законодательства и вносящих коррективы в учебные программы. Вторая часть – это более мелкие компании, час</w:t>
      </w:r>
      <w:r>
        <w:rPr>
          <w:sz w:val="24"/>
          <w:szCs w:val="24"/>
        </w:rPr>
        <w:t>тные лекторы, которые тиражируют продукты более крупных игроков (не всегда актуальные). Курсы так же можно разделить на три категории - очные, очно-дистанционные, дистанционные</w:t>
      </w:r>
    </w:p>
    <w:p w14:paraId="2CFB0AC1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крупным игрокам на рынке можно отнести такие организации как: </w:t>
      </w:r>
    </w:p>
    <w:p w14:paraId="35D85D9D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- Институт упр</w:t>
      </w:r>
      <w:r>
        <w:rPr>
          <w:sz w:val="24"/>
          <w:szCs w:val="24"/>
        </w:rPr>
        <w:t>авления закупками и продажами им. А. Б. Соловьева;</w:t>
      </w:r>
    </w:p>
    <w:p w14:paraId="488C1F29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Санкт-Петербургский государственный университет;</w:t>
      </w:r>
    </w:p>
    <w:p w14:paraId="42943A8A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- автономная некоммерческая организация дополнительного профессионального образования «Учебный центр СКБ Контур»;</w:t>
      </w:r>
    </w:p>
    <w:p w14:paraId="4B96A762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- Межрегиональный учебно-консультационны</w:t>
      </w:r>
      <w:r>
        <w:rPr>
          <w:sz w:val="24"/>
          <w:szCs w:val="24"/>
        </w:rPr>
        <w:t>й центр «Госзакупки»;</w:t>
      </w:r>
    </w:p>
    <w:p w14:paraId="6DA03FFA" w14:textId="77777777" w:rsidR="00297184" w:rsidRDefault="00D721B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- Автономная некоммерческая организация дополнительного профессионального образования Учебно-методический центр «</w:t>
      </w:r>
      <w:proofErr w:type="spellStart"/>
      <w:r>
        <w:rPr>
          <w:sz w:val="24"/>
          <w:szCs w:val="24"/>
        </w:rPr>
        <w:t>Финконт</w:t>
      </w:r>
      <w:proofErr w:type="spellEnd"/>
      <w:r>
        <w:rPr>
          <w:sz w:val="24"/>
          <w:szCs w:val="24"/>
        </w:rPr>
        <w:t>»;</w:t>
      </w:r>
    </w:p>
    <w:p w14:paraId="37C350CF" w14:textId="77777777" w:rsidR="00297184" w:rsidRDefault="00D721BA">
      <w:pPr>
        <w:spacing w:before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Таблица 1</w:t>
      </w:r>
    </w:p>
    <w:p w14:paraId="5AFFD9C2" w14:textId="77777777" w:rsidR="00297184" w:rsidRDefault="00D721BA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Анализ ценовых предложений на рынке</w:t>
      </w:r>
    </w:p>
    <w:tbl>
      <w:tblPr>
        <w:tblStyle w:val="a6"/>
        <w:tblW w:w="994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625"/>
        <w:gridCol w:w="1830"/>
        <w:gridCol w:w="1395"/>
        <w:gridCol w:w="2130"/>
      </w:tblGrid>
      <w:tr w:rsidR="00297184" w14:paraId="1E36545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909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Организация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24C6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Наименование курса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D35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Количество учебных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8F11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Стоимость</w:t>
            </w:r>
            <w:r>
              <w:rPr>
                <w:b/>
              </w:rPr>
              <w:t>, рублей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5FD5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Особенности программы</w:t>
            </w:r>
          </w:p>
        </w:tc>
      </w:tr>
      <w:tr w:rsidR="00297184" w14:paraId="42072EB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0911" w14:textId="77777777" w:rsidR="00297184" w:rsidRDefault="00D721BA">
            <w:pPr>
              <w:widowControl w:val="0"/>
            </w:pPr>
            <w:r>
              <w:t>Институт управления закупками и продажами им. А. Б. Соловьева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9B21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государственными и муниципальными закупками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258C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(152 часа, в т. ч. 120 аудиторных)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1632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16500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47B1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очная форма обучения</w:t>
            </w:r>
          </w:p>
        </w:tc>
      </w:tr>
      <w:tr w:rsidR="00297184" w14:paraId="1F2B865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CF8B" w14:textId="77777777" w:rsidR="00297184" w:rsidRDefault="00D721BA">
            <w:pPr>
              <w:widowControl w:val="0"/>
            </w:pPr>
            <w:r>
              <w:t>Институт управления закупками и продажами им. А. Б. Соловьева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DAE5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государственными и муниципальными закупками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3D0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64CC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26400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E0D7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очно-заочная форма</w:t>
            </w:r>
          </w:p>
        </w:tc>
      </w:tr>
      <w:tr w:rsidR="00297184" w14:paraId="4C57AF2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FF68" w14:textId="77777777" w:rsidR="00297184" w:rsidRDefault="00D721BA">
            <w:pPr>
              <w:widowControl w:val="0"/>
            </w:pPr>
            <w:r>
              <w:t>Институт управления закупками и продажами им. А. Б. Соловьева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3024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Особенности функционирования контрактной системы в сфере закупок товаров, работ, услуг для обеспечения государственных и муниципальных нужд в Московской области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BC7B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недели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87A2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30960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409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очно-заочная форма</w:t>
            </w:r>
            <w:r>
              <w:t>,</w:t>
            </w:r>
          </w:p>
          <w:p w14:paraId="546BF30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во время обучения предоставляется возможность работы в «личном кабинете» Единой автоматизированной информационной системе управления закупками Московской области (</w:t>
            </w:r>
            <w:r>
              <w:rPr>
                <w:sz w:val="24"/>
                <w:szCs w:val="24"/>
                <w:highlight w:val="white"/>
              </w:rPr>
              <w:t>ЕАСУЗ МО</w:t>
            </w:r>
            <w:r>
              <w:t>)</w:t>
            </w:r>
          </w:p>
        </w:tc>
      </w:tr>
      <w:tr w:rsidR="00297184" w14:paraId="3D2BD30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7A4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Санкт-Петербургский государственный университет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F372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государственными и муниципальными закупками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4DB5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E4CE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16000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9AB0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очная форма,</w:t>
            </w:r>
          </w:p>
          <w:p w14:paraId="5984227C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Деловые игры по размещению государственных и муниципальных заказов</w:t>
            </w:r>
          </w:p>
        </w:tc>
      </w:tr>
      <w:tr w:rsidR="00297184" w14:paraId="4349E5A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8CAD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Учебный центр СКБ Контур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B55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Участие в государственных, корпоративных и регламентированных закупках по 44‑ФЗ и 223‑ФЗ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CB69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256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37D7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25000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EB8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очно-дистанционное обучение, </w:t>
            </w:r>
          </w:p>
          <w:p w14:paraId="62326B4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вебинар “Торги на электронном аукционе”</w:t>
            </w:r>
          </w:p>
        </w:tc>
      </w:tr>
      <w:tr w:rsidR="00297184" w14:paraId="7AAD027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DD5C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Учебный центр </w:t>
            </w:r>
            <w:r>
              <w:lastRenderedPageBreak/>
              <w:t>СКБ Контур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D3E9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Участие в </w:t>
            </w:r>
            <w:r>
              <w:lastRenderedPageBreak/>
              <w:t>государственных и муниципальных закупках. Контрактная система по 44‑ФЗ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620B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128 часов</w:t>
            </w:r>
          </w:p>
          <w:p w14:paraId="6B731603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5F0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16900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B8D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очно-дистанционное </w:t>
            </w:r>
            <w:r>
              <w:lastRenderedPageBreak/>
              <w:t xml:space="preserve">обучение, </w:t>
            </w:r>
          </w:p>
          <w:p w14:paraId="06CCD250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вебинар “Торги на электронном аукционе”</w:t>
            </w:r>
          </w:p>
        </w:tc>
      </w:tr>
      <w:tr w:rsidR="00297184" w14:paraId="3EEEEA9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041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Межрегиональный учебно-консультационный центр «Госзакупки»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FDA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"УЧАСТИЕ В ГОС И МУНИЦ. ЗАКУПКАХ ПО 44-ФЗ"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25C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128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C7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16900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F2D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дистанционное обучение,</w:t>
            </w:r>
          </w:p>
          <w:p w14:paraId="4A91301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трехмесячная бесплатная поддержка (консультации, вебинары)</w:t>
            </w:r>
          </w:p>
        </w:tc>
      </w:tr>
      <w:tr w:rsidR="00297184" w14:paraId="4CF2A33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BC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Межрегиональный учебно-консультационный центр «Госзаку</w:t>
            </w:r>
            <w:r>
              <w:t>пки»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4475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ПРОФПЕРЕПОДГОТОВКА 510Ч "ЭФФЕКТИВНОЕ УЧАСТИЕ В ГОС И КОРП ЗАКУПКАХ"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E618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510 часов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D2ED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18000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AE63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дистанционное обучение,</w:t>
            </w:r>
          </w:p>
          <w:p w14:paraId="0332BFBF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возможность самостоятельно осуществлять практические занятия на действующей электронной торговой площадке "РТС-тендер"</w:t>
            </w:r>
          </w:p>
        </w:tc>
      </w:tr>
      <w:tr w:rsidR="00297184" w14:paraId="33DB55F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12A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Учебно-методический центр «</w:t>
            </w:r>
            <w:proofErr w:type="spellStart"/>
            <w:r>
              <w:t>Финконт</w:t>
            </w:r>
            <w:proofErr w:type="spellEnd"/>
            <w:r>
              <w:t>»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989F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44-ФЗ и 223-ФЗ: Курс повышения квалификации для поставщиков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E6BB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144 часа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34AD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B927" w14:textId="77777777" w:rsidR="00297184" w:rsidRDefault="00D72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дистанционное обучение</w:t>
            </w:r>
          </w:p>
          <w:p w14:paraId="36CEBAA6" w14:textId="77777777" w:rsidR="00297184" w:rsidRDefault="0029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7D882D" w14:textId="77777777" w:rsidR="00297184" w:rsidRDefault="00D721BA">
      <w:pPr>
        <w:spacing w:before="24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программ обучения, можно утверждать, что большая часть предложений на рынке представляет собой теоретическую подготовку, т.е. постатейный и </w:t>
      </w:r>
      <w:proofErr w:type="spellStart"/>
      <w:r>
        <w:rPr>
          <w:sz w:val="24"/>
          <w:szCs w:val="24"/>
        </w:rPr>
        <w:t>попунктный</w:t>
      </w:r>
      <w:proofErr w:type="spellEnd"/>
      <w:r>
        <w:rPr>
          <w:sz w:val="24"/>
          <w:szCs w:val="24"/>
        </w:rPr>
        <w:t xml:space="preserve"> разбор статей законов </w:t>
      </w:r>
      <w:r>
        <w:rPr>
          <w:color w:val="222222"/>
          <w:sz w:val="24"/>
          <w:szCs w:val="24"/>
          <w:highlight w:val="white"/>
        </w:rPr>
        <w:t>№ 44-ФЗ, 223</w:t>
      </w:r>
      <w:r>
        <w:rPr>
          <w:sz w:val="24"/>
          <w:szCs w:val="24"/>
        </w:rPr>
        <w:t xml:space="preserve"> и других нормативных актов по закупкам. Крупные и средние иг</w:t>
      </w:r>
      <w:r>
        <w:rPr>
          <w:sz w:val="24"/>
          <w:szCs w:val="24"/>
        </w:rPr>
        <w:t>роки дополнительно предлагают узкоспециализированые курсы, такие как «Обзор арбитражной практики», «Практика обжалования действий заказчика» и прочие. Так же некоторые игроки предлагают практическую часть в виде практических занятий на действующих электрон</w:t>
      </w:r>
      <w:r>
        <w:rPr>
          <w:sz w:val="24"/>
          <w:szCs w:val="24"/>
        </w:rPr>
        <w:t>ных площадках. Ценовой диапазон для организаций, оказывающих услуги по переподготовке сотрудников, зависит как от формы обучения, региона так и от дополнительных возможностей, предоставляемых слушателям.</w:t>
      </w:r>
    </w:p>
    <w:p w14:paraId="6ADDD699" w14:textId="77777777" w:rsidR="00297184" w:rsidRDefault="00D721BA">
      <w:pPr>
        <w:spacing w:before="24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Не смотря на то, что на рынке присутствуют игроки, п</w:t>
      </w:r>
      <w:r>
        <w:rPr>
          <w:sz w:val="24"/>
          <w:szCs w:val="24"/>
        </w:rPr>
        <w:t>редлагающие практические занятия на действующих электронных площадках, можно утверждать, что на текущий момент нет предложений курсов, на которых можно было бы пройти все этапы процесса участия в госзакупке, начиная от проверки организации-продавца на соот</w:t>
      </w:r>
      <w:r>
        <w:rPr>
          <w:sz w:val="24"/>
          <w:szCs w:val="24"/>
        </w:rPr>
        <w:t xml:space="preserve">ветствие требованиям для регистрации на </w:t>
      </w:r>
      <w:r>
        <w:rPr>
          <w:sz w:val="24"/>
          <w:szCs w:val="24"/>
        </w:rPr>
        <w:lastRenderedPageBreak/>
        <w:t>электронной площадке, и заканчивая подписанием и исполнением контракта с покупателем.</w:t>
      </w:r>
    </w:p>
    <w:p w14:paraId="5B7EAAE3" w14:textId="77777777" w:rsidR="00297184" w:rsidRDefault="00297184">
      <w:pPr>
        <w:spacing w:before="240" w:line="360" w:lineRule="auto"/>
        <w:ind w:firstLine="680"/>
        <w:jc w:val="both"/>
        <w:rPr>
          <w:sz w:val="24"/>
          <w:szCs w:val="24"/>
        </w:rPr>
      </w:pPr>
    </w:p>
    <w:sectPr w:rsidR="00297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84"/>
    <w:rsid w:val="00297184"/>
    <w:rsid w:val="00D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F925"/>
  <w15:docId w15:val="{056DED27-4282-48EB-8842-0D162FE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Teterkin</cp:lastModifiedBy>
  <cp:revision>2</cp:revision>
  <dcterms:created xsi:type="dcterms:W3CDTF">2019-11-12T20:55:00Z</dcterms:created>
  <dcterms:modified xsi:type="dcterms:W3CDTF">2019-11-12T20:56:00Z</dcterms:modified>
</cp:coreProperties>
</file>