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547" w:rsidRPr="001C6547" w:rsidRDefault="001C6547" w:rsidP="001C6547">
      <w:pPr>
        <w:shd w:val="clear" w:color="auto" w:fill="FFFFFF"/>
        <w:spacing w:before="480" w:after="240" w:line="240" w:lineRule="auto"/>
        <w:outlineLvl w:val="2"/>
        <w:rPr>
          <w:rFonts w:ascii="Times New Roman" w:eastAsia="Times New Roman" w:hAnsi="Times New Roman" w:cs="Times New Roman"/>
          <w:b/>
          <w:bCs/>
          <w:color w:val="0F1115"/>
          <w:sz w:val="28"/>
          <w:szCs w:val="28"/>
        </w:rPr>
      </w:pPr>
      <w:r w:rsidRPr="001C6547">
        <w:rPr>
          <w:rFonts w:ascii="Times New Roman" w:eastAsia="Times New Roman" w:hAnsi="Times New Roman" w:cs="Times New Roman"/>
          <w:b/>
          <w:bCs/>
          <w:color w:val="0F1115"/>
          <w:sz w:val="28"/>
          <w:szCs w:val="28"/>
        </w:rPr>
        <w:t>Пост 1. Юридическая природа цифровых прав: позиция Гражданского кодекса</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Многие ошибочно полагают, что цифровые права — это просто «файлы» или «записи в базе данных». С точки зрения закона всё гораздо тоньше. Статья 141.1 Гражданского кодекса РФ вводит эти объекты в классическое правовое поле, определяя их как особую разновидность обязательственных или иных прав, поименованных в законе.</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Главная особенность здесь — неразрывная связь с «правилами информационной системы». В традиционном праве содержание договора определяется сторонами и законом, а здесь — еще и техническим регламентом платформы. Именно эта цифровая среда диктует, как именно можно осуществить ваше право: продать его, передать в залог, обременить или ограничить распоряжение. Ключевое правило: все эти действия происходят внутри системы без обращения к третьему лицу (например, к регистратору или нотариусу). Закон также устанавливает презумпцию: обладателем права признается тот, кто по правилам системы может им распоряжаться. И наконец, для бизнеса важно: переход цифрового права по сделке не требует согласия должника по этому праву, что существенно упрощает оборот.</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Segoe UI" w:eastAsia="Times New Roman" w:hAnsi="Segoe UI" w:cs="Times New Roman"/>
          <w:color w:val="0F1115"/>
          <w:sz w:val="28"/>
          <w:szCs w:val="28"/>
        </w:rPr>
        <w:t>📌</w:t>
      </w:r>
      <w:r w:rsidRPr="001C6547">
        <w:rPr>
          <w:rFonts w:ascii="Times New Roman" w:eastAsia="Times New Roman" w:hAnsi="Times New Roman" w:cs="Times New Roman"/>
          <w:color w:val="0F1115"/>
          <w:sz w:val="28"/>
          <w:szCs w:val="28"/>
        </w:rPr>
        <w:t> </w:t>
      </w:r>
      <w:r w:rsidRPr="001C6547">
        <w:rPr>
          <w:rFonts w:ascii="Times New Roman" w:eastAsia="Times New Roman" w:hAnsi="Times New Roman" w:cs="Times New Roman"/>
          <w:b/>
          <w:bCs/>
          <w:color w:val="0F1115"/>
          <w:sz w:val="28"/>
          <w:szCs w:val="28"/>
        </w:rPr>
        <w:t>Источник:</w:t>
      </w:r>
      <w:r w:rsidRPr="001C6547">
        <w:rPr>
          <w:rFonts w:ascii="Times New Roman" w:eastAsia="Times New Roman" w:hAnsi="Times New Roman" w:cs="Times New Roman"/>
          <w:color w:val="0F1115"/>
          <w:sz w:val="28"/>
          <w:szCs w:val="28"/>
        </w:rPr>
        <w:t> ст. 141.1 ГК РФ (введена Федеральным законом № 34-ФЗ от 18.03.2019)</w:t>
      </w:r>
      <w:r w:rsidRPr="001C6547">
        <w:rPr>
          <w:rFonts w:ascii="Times New Roman" w:eastAsia="Times New Roman" w:hAnsi="Times New Roman" w:cs="Times New Roman"/>
          <w:color w:val="0F1115"/>
          <w:sz w:val="28"/>
          <w:szCs w:val="28"/>
        </w:rPr>
        <w:br/>
        <w:t xml:space="preserve">Просмотреть текст на </w:t>
      </w:r>
      <w:proofErr w:type="spellStart"/>
      <w:r w:rsidRPr="001C6547">
        <w:rPr>
          <w:rFonts w:ascii="Times New Roman" w:eastAsia="Times New Roman" w:hAnsi="Times New Roman" w:cs="Times New Roman"/>
          <w:color w:val="0F1115"/>
          <w:sz w:val="28"/>
          <w:szCs w:val="28"/>
        </w:rPr>
        <w:t>pravo.gov.ru</w:t>
      </w:r>
      <w:proofErr w:type="spellEnd"/>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480" w:after="240" w:line="240" w:lineRule="auto"/>
        <w:outlineLvl w:val="2"/>
        <w:rPr>
          <w:rFonts w:ascii="Times New Roman" w:eastAsia="Times New Roman" w:hAnsi="Times New Roman" w:cs="Times New Roman"/>
          <w:b/>
          <w:bCs/>
          <w:color w:val="0F1115"/>
          <w:sz w:val="28"/>
          <w:szCs w:val="28"/>
        </w:rPr>
      </w:pPr>
      <w:r w:rsidRPr="001C6547">
        <w:rPr>
          <w:rFonts w:ascii="Times New Roman" w:eastAsia="Times New Roman" w:hAnsi="Times New Roman" w:cs="Times New Roman"/>
          <w:b/>
          <w:bCs/>
          <w:color w:val="0F1115"/>
          <w:sz w:val="28"/>
          <w:szCs w:val="28"/>
        </w:rPr>
        <w:t>Пост 2. Цифровые финансовые активы (ЦФА): что это и как работает</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Федеральный закон № 259-ФЗ является базовым актом для всего рынка </w:t>
      </w:r>
      <w:proofErr w:type="spellStart"/>
      <w:r w:rsidRPr="001C6547">
        <w:rPr>
          <w:rFonts w:ascii="Times New Roman" w:eastAsia="Times New Roman" w:hAnsi="Times New Roman" w:cs="Times New Roman"/>
          <w:color w:val="0F1115"/>
          <w:sz w:val="28"/>
          <w:szCs w:val="28"/>
        </w:rPr>
        <w:t>криптоактивов</w:t>
      </w:r>
      <w:proofErr w:type="spellEnd"/>
      <w:r w:rsidRPr="001C6547">
        <w:rPr>
          <w:rFonts w:ascii="Times New Roman" w:eastAsia="Times New Roman" w:hAnsi="Times New Roman" w:cs="Times New Roman"/>
          <w:color w:val="0F1115"/>
          <w:sz w:val="28"/>
          <w:szCs w:val="28"/>
        </w:rPr>
        <w:t xml:space="preserve"> в России. Он вводит понятие «цифровые финансовые активы» — это и есть те самые цифровые права, которые включают в себя денежные требования, права по ценным бумагам, а также права на участие в капитале непубличных АО. По сути, это позволяет «упаковать» традиционные финансовые инструменты в формат </w:t>
      </w:r>
      <w:proofErr w:type="spellStart"/>
      <w:r w:rsidRPr="001C6547">
        <w:rPr>
          <w:rFonts w:ascii="Times New Roman" w:eastAsia="Times New Roman" w:hAnsi="Times New Roman" w:cs="Times New Roman"/>
          <w:color w:val="0F1115"/>
          <w:sz w:val="28"/>
          <w:szCs w:val="28"/>
        </w:rPr>
        <w:t>блокчейна</w:t>
      </w:r>
      <w:proofErr w:type="spellEnd"/>
      <w:r w:rsidRPr="001C6547">
        <w:rPr>
          <w:rFonts w:ascii="Times New Roman" w:eastAsia="Times New Roman" w:hAnsi="Times New Roman" w:cs="Times New Roman"/>
          <w:color w:val="0F1115"/>
          <w:sz w:val="28"/>
          <w:szCs w:val="28"/>
        </w:rPr>
        <w:t>.</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Закон четко отделяет ЦФА от цифровой валюты (например, </w:t>
      </w:r>
      <w:proofErr w:type="spellStart"/>
      <w:r w:rsidRPr="001C6547">
        <w:rPr>
          <w:rFonts w:ascii="Times New Roman" w:eastAsia="Times New Roman" w:hAnsi="Times New Roman" w:cs="Times New Roman"/>
          <w:color w:val="0F1115"/>
          <w:sz w:val="28"/>
          <w:szCs w:val="28"/>
        </w:rPr>
        <w:t>биткоина</w:t>
      </w:r>
      <w:proofErr w:type="spellEnd"/>
      <w:r w:rsidRPr="001C6547">
        <w:rPr>
          <w:rFonts w:ascii="Times New Roman" w:eastAsia="Times New Roman" w:hAnsi="Times New Roman" w:cs="Times New Roman"/>
          <w:color w:val="0F1115"/>
          <w:sz w:val="28"/>
          <w:szCs w:val="28"/>
        </w:rPr>
        <w:t xml:space="preserve">). Если цифровая валюта — это средство платежа (пусть и не признаваемое официально) или инвестиция, по которой никто ничего не должен </w:t>
      </w:r>
      <w:r w:rsidRPr="001C6547">
        <w:rPr>
          <w:rFonts w:ascii="Times New Roman" w:eastAsia="Times New Roman" w:hAnsi="Times New Roman" w:cs="Times New Roman"/>
          <w:color w:val="0F1115"/>
          <w:sz w:val="28"/>
          <w:szCs w:val="28"/>
        </w:rPr>
        <w:lastRenderedPageBreak/>
        <w:t>держателю, то ЦФА — это всегда обязательство конкретного лица (эмитента). Оператор информационной системы, где выпускаются ЦФА, обязан быть включен в реестр Банка России, иметь правила системы и соблюдать требования к защите информации. Важно помнить: по общему правилу закон запрещает расплачиваться ЦФА за товары и услуги внутри страны, однако для внешнеторговых контрактов это ограничение снимается.</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Segoe UI" w:eastAsia="Times New Roman" w:hAnsi="Segoe UI" w:cs="Times New Roman"/>
          <w:color w:val="0F1115"/>
          <w:sz w:val="28"/>
          <w:szCs w:val="28"/>
        </w:rPr>
        <w:t>📌</w:t>
      </w:r>
      <w:r w:rsidRPr="001C6547">
        <w:rPr>
          <w:rFonts w:ascii="Times New Roman" w:eastAsia="Times New Roman" w:hAnsi="Times New Roman" w:cs="Times New Roman"/>
          <w:color w:val="0F1115"/>
          <w:sz w:val="28"/>
          <w:szCs w:val="28"/>
        </w:rPr>
        <w:t> </w:t>
      </w:r>
      <w:r w:rsidRPr="001C6547">
        <w:rPr>
          <w:rFonts w:ascii="Times New Roman" w:eastAsia="Times New Roman" w:hAnsi="Times New Roman" w:cs="Times New Roman"/>
          <w:b/>
          <w:bCs/>
          <w:color w:val="0F1115"/>
          <w:sz w:val="28"/>
          <w:szCs w:val="28"/>
        </w:rPr>
        <w:t>Источник:</w:t>
      </w:r>
      <w:r w:rsidRPr="001C6547">
        <w:rPr>
          <w:rFonts w:ascii="Times New Roman" w:eastAsia="Times New Roman" w:hAnsi="Times New Roman" w:cs="Times New Roman"/>
          <w:color w:val="0F1115"/>
          <w:sz w:val="28"/>
          <w:szCs w:val="28"/>
        </w:rPr>
        <w:t> Федеральный закон от 31.07.2020 № 259-ФЗ «О цифровых финансовых активах, цифровой валюте...» (ред. от 15.12.2025)</w:t>
      </w:r>
      <w:r w:rsidRPr="001C6547">
        <w:rPr>
          <w:rFonts w:ascii="Times New Roman" w:eastAsia="Times New Roman" w:hAnsi="Times New Roman" w:cs="Times New Roman"/>
          <w:color w:val="0F1115"/>
          <w:sz w:val="28"/>
          <w:szCs w:val="28"/>
        </w:rPr>
        <w:br/>
        <w:t xml:space="preserve">Читать актуальную редакцию на </w:t>
      </w:r>
      <w:proofErr w:type="spellStart"/>
      <w:r w:rsidRPr="001C6547">
        <w:rPr>
          <w:rFonts w:ascii="Times New Roman" w:eastAsia="Times New Roman" w:hAnsi="Times New Roman" w:cs="Times New Roman"/>
          <w:color w:val="0F1115"/>
          <w:sz w:val="28"/>
          <w:szCs w:val="28"/>
        </w:rPr>
        <w:t>pravo.gov.ru</w:t>
      </w:r>
      <w:proofErr w:type="spellEnd"/>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480" w:after="240" w:line="240" w:lineRule="auto"/>
        <w:outlineLvl w:val="2"/>
        <w:rPr>
          <w:rFonts w:ascii="Times New Roman" w:eastAsia="Times New Roman" w:hAnsi="Times New Roman" w:cs="Times New Roman"/>
          <w:b/>
          <w:bCs/>
          <w:color w:val="0F1115"/>
          <w:sz w:val="28"/>
          <w:szCs w:val="28"/>
        </w:rPr>
      </w:pPr>
      <w:r w:rsidRPr="001C6547">
        <w:rPr>
          <w:rFonts w:ascii="Times New Roman" w:eastAsia="Times New Roman" w:hAnsi="Times New Roman" w:cs="Times New Roman"/>
          <w:b/>
          <w:bCs/>
          <w:color w:val="0F1115"/>
          <w:sz w:val="28"/>
          <w:szCs w:val="28"/>
        </w:rPr>
        <w:t xml:space="preserve">Пост 3. Режим цифровой валюты: </w:t>
      </w:r>
      <w:proofErr w:type="spellStart"/>
      <w:r w:rsidRPr="001C6547">
        <w:rPr>
          <w:rFonts w:ascii="Times New Roman" w:eastAsia="Times New Roman" w:hAnsi="Times New Roman" w:cs="Times New Roman"/>
          <w:b/>
          <w:bCs/>
          <w:color w:val="0F1115"/>
          <w:sz w:val="28"/>
          <w:szCs w:val="28"/>
        </w:rPr>
        <w:t>майнинг</w:t>
      </w:r>
      <w:proofErr w:type="spellEnd"/>
      <w:r w:rsidRPr="001C6547">
        <w:rPr>
          <w:rFonts w:ascii="Times New Roman" w:eastAsia="Times New Roman" w:hAnsi="Times New Roman" w:cs="Times New Roman"/>
          <w:b/>
          <w:bCs/>
          <w:color w:val="0F1115"/>
          <w:sz w:val="28"/>
          <w:szCs w:val="28"/>
        </w:rPr>
        <w:t>, обращение и запреты</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Третьим значимым блоком регулирования в законе № 259-ФЗ выступает оборот цифровой валюты. Здесь законодатель занял консервативную, но прагматичную позицию. Цифровая валюта определяется как совокупность электронных данных, которые могут быть приняты в качестве средства платежа (но не являются рублем или валютой иностранного государства).</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Закон подробно легализует и описывает процесс </w:t>
      </w:r>
      <w:proofErr w:type="spellStart"/>
      <w:r w:rsidRPr="001C6547">
        <w:rPr>
          <w:rFonts w:ascii="Times New Roman" w:eastAsia="Times New Roman" w:hAnsi="Times New Roman" w:cs="Times New Roman"/>
          <w:color w:val="0F1115"/>
          <w:sz w:val="28"/>
          <w:szCs w:val="28"/>
        </w:rPr>
        <w:t>майнинга</w:t>
      </w:r>
      <w:proofErr w:type="spellEnd"/>
      <w:r w:rsidRPr="001C6547">
        <w:rPr>
          <w:rFonts w:ascii="Times New Roman" w:eastAsia="Times New Roman" w:hAnsi="Times New Roman" w:cs="Times New Roman"/>
          <w:color w:val="0F1115"/>
          <w:sz w:val="28"/>
          <w:szCs w:val="28"/>
        </w:rPr>
        <w:t xml:space="preserve"> (в том числе через </w:t>
      </w:r>
      <w:proofErr w:type="spellStart"/>
      <w:r w:rsidRPr="001C6547">
        <w:rPr>
          <w:rFonts w:ascii="Times New Roman" w:eastAsia="Times New Roman" w:hAnsi="Times New Roman" w:cs="Times New Roman"/>
          <w:color w:val="0F1115"/>
          <w:sz w:val="28"/>
          <w:szCs w:val="28"/>
        </w:rPr>
        <w:t>майнинг-пулы</w:t>
      </w:r>
      <w:proofErr w:type="spellEnd"/>
      <w:r w:rsidRPr="001C6547">
        <w:rPr>
          <w:rFonts w:ascii="Times New Roman" w:eastAsia="Times New Roman" w:hAnsi="Times New Roman" w:cs="Times New Roman"/>
          <w:color w:val="0F1115"/>
          <w:sz w:val="28"/>
          <w:szCs w:val="28"/>
        </w:rPr>
        <w:t xml:space="preserve">) как деятельность по проведению математических вычислений для выпуска валюты или получения вознаграждения. Для </w:t>
      </w:r>
      <w:proofErr w:type="spellStart"/>
      <w:r w:rsidRPr="001C6547">
        <w:rPr>
          <w:rFonts w:ascii="Times New Roman" w:eastAsia="Times New Roman" w:hAnsi="Times New Roman" w:cs="Times New Roman"/>
          <w:color w:val="0F1115"/>
          <w:sz w:val="28"/>
          <w:szCs w:val="28"/>
        </w:rPr>
        <w:t>юрлиц</w:t>
      </w:r>
      <w:proofErr w:type="spellEnd"/>
      <w:r w:rsidRPr="001C6547">
        <w:rPr>
          <w:rFonts w:ascii="Times New Roman" w:eastAsia="Times New Roman" w:hAnsi="Times New Roman" w:cs="Times New Roman"/>
          <w:color w:val="0F1115"/>
          <w:sz w:val="28"/>
          <w:szCs w:val="28"/>
        </w:rPr>
        <w:t xml:space="preserve"> и ИП </w:t>
      </w:r>
      <w:proofErr w:type="spellStart"/>
      <w:r w:rsidRPr="001C6547">
        <w:rPr>
          <w:rFonts w:ascii="Times New Roman" w:eastAsia="Times New Roman" w:hAnsi="Times New Roman" w:cs="Times New Roman"/>
          <w:color w:val="0F1115"/>
          <w:sz w:val="28"/>
          <w:szCs w:val="28"/>
        </w:rPr>
        <w:t>майнинг</w:t>
      </w:r>
      <w:proofErr w:type="spellEnd"/>
      <w:r w:rsidRPr="001C6547">
        <w:rPr>
          <w:rFonts w:ascii="Times New Roman" w:eastAsia="Times New Roman" w:hAnsi="Times New Roman" w:cs="Times New Roman"/>
          <w:color w:val="0F1115"/>
          <w:sz w:val="28"/>
          <w:szCs w:val="28"/>
        </w:rPr>
        <w:t xml:space="preserve"> возможен только при включении в специальный реестр (обычные граждане могут </w:t>
      </w:r>
      <w:proofErr w:type="spellStart"/>
      <w:r w:rsidRPr="001C6547">
        <w:rPr>
          <w:rFonts w:ascii="Times New Roman" w:eastAsia="Times New Roman" w:hAnsi="Times New Roman" w:cs="Times New Roman"/>
          <w:color w:val="0F1115"/>
          <w:sz w:val="28"/>
          <w:szCs w:val="28"/>
        </w:rPr>
        <w:t>майнить</w:t>
      </w:r>
      <w:proofErr w:type="spellEnd"/>
      <w:r w:rsidRPr="001C6547">
        <w:rPr>
          <w:rFonts w:ascii="Times New Roman" w:eastAsia="Times New Roman" w:hAnsi="Times New Roman" w:cs="Times New Roman"/>
          <w:color w:val="0F1115"/>
          <w:sz w:val="28"/>
          <w:szCs w:val="28"/>
        </w:rPr>
        <w:t xml:space="preserve"> без регистрации при соблюдении лимитов энергопотребления). При этом устанавливается строгий запрет: резиденты РФ не вправе принимать цифровую валюту в качестве оплаты за товары и услуги. Требования, связанные с владением цифровой валютой, будут защищены судом только при условии, что владелец проинформировал о своих активах налоговые органы.</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Segoe UI" w:eastAsia="Times New Roman" w:hAnsi="Segoe UI" w:cs="Times New Roman"/>
          <w:color w:val="0F1115"/>
          <w:sz w:val="28"/>
          <w:szCs w:val="28"/>
        </w:rPr>
        <w:t>📌</w:t>
      </w:r>
      <w:r w:rsidRPr="001C6547">
        <w:rPr>
          <w:rFonts w:ascii="Times New Roman" w:eastAsia="Times New Roman" w:hAnsi="Times New Roman" w:cs="Times New Roman"/>
          <w:color w:val="0F1115"/>
          <w:sz w:val="28"/>
          <w:szCs w:val="28"/>
        </w:rPr>
        <w:t> </w:t>
      </w:r>
      <w:r w:rsidRPr="001C6547">
        <w:rPr>
          <w:rFonts w:ascii="Times New Roman" w:eastAsia="Times New Roman" w:hAnsi="Times New Roman" w:cs="Times New Roman"/>
          <w:b/>
          <w:bCs/>
          <w:color w:val="0F1115"/>
          <w:sz w:val="28"/>
          <w:szCs w:val="28"/>
        </w:rPr>
        <w:t>Источник:</w:t>
      </w:r>
      <w:r w:rsidRPr="001C6547">
        <w:rPr>
          <w:rFonts w:ascii="Times New Roman" w:eastAsia="Times New Roman" w:hAnsi="Times New Roman" w:cs="Times New Roman"/>
          <w:color w:val="0F1115"/>
          <w:sz w:val="28"/>
          <w:szCs w:val="28"/>
        </w:rPr>
        <w:t xml:space="preserve"> Федеральный закон № 259-ФЗ (Глава 1, Ст. 14, Ст. 142 — оборот валюты и </w:t>
      </w:r>
      <w:proofErr w:type="spellStart"/>
      <w:r w:rsidRPr="001C6547">
        <w:rPr>
          <w:rFonts w:ascii="Times New Roman" w:eastAsia="Times New Roman" w:hAnsi="Times New Roman" w:cs="Times New Roman"/>
          <w:color w:val="0F1115"/>
          <w:sz w:val="28"/>
          <w:szCs w:val="28"/>
        </w:rPr>
        <w:t>майнинг</w:t>
      </w:r>
      <w:proofErr w:type="spellEnd"/>
      <w:r w:rsidRPr="001C6547">
        <w:rPr>
          <w:rFonts w:ascii="Times New Roman" w:eastAsia="Times New Roman" w:hAnsi="Times New Roman" w:cs="Times New Roman"/>
          <w:color w:val="0F1115"/>
          <w:sz w:val="28"/>
          <w:szCs w:val="28"/>
        </w:rPr>
        <w:t>)</w:t>
      </w:r>
      <w:r w:rsidRPr="001C6547">
        <w:rPr>
          <w:rFonts w:ascii="Times New Roman" w:eastAsia="Times New Roman" w:hAnsi="Times New Roman" w:cs="Times New Roman"/>
          <w:color w:val="0F1115"/>
          <w:sz w:val="28"/>
          <w:szCs w:val="28"/>
        </w:rPr>
        <w:br/>
        <w:t>Подробнее об изменениях от 2024-2025 гг.</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480" w:after="240" w:line="240" w:lineRule="auto"/>
        <w:outlineLvl w:val="2"/>
        <w:rPr>
          <w:rFonts w:ascii="Times New Roman" w:eastAsia="Times New Roman" w:hAnsi="Times New Roman" w:cs="Times New Roman"/>
          <w:b/>
          <w:bCs/>
          <w:color w:val="0F1115"/>
          <w:sz w:val="28"/>
          <w:szCs w:val="28"/>
        </w:rPr>
      </w:pPr>
      <w:r w:rsidRPr="001C6547">
        <w:rPr>
          <w:rFonts w:ascii="Times New Roman" w:eastAsia="Times New Roman" w:hAnsi="Times New Roman" w:cs="Times New Roman"/>
          <w:b/>
          <w:bCs/>
          <w:color w:val="0F1115"/>
          <w:sz w:val="28"/>
          <w:szCs w:val="28"/>
        </w:rPr>
        <w:lastRenderedPageBreak/>
        <w:t>Пост 4. Инвестиционные платформы и утилитарные цифровые права (УЦП)</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Нельзя обойти вниманием и закон № 259-ФЗ «О привлечении инвестиций...», который создал основу для </w:t>
      </w:r>
      <w:proofErr w:type="spellStart"/>
      <w:r w:rsidRPr="001C6547">
        <w:rPr>
          <w:rFonts w:ascii="Times New Roman" w:eastAsia="Times New Roman" w:hAnsi="Times New Roman" w:cs="Times New Roman"/>
          <w:color w:val="0F1115"/>
          <w:sz w:val="28"/>
          <w:szCs w:val="28"/>
        </w:rPr>
        <w:t>краудфандинга</w:t>
      </w:r>
      <w:proofErr w:type="spellEnd"/>
      <w:r w:rsidRPr="001C6547">
        <w:rPr>
          <w:rFonts w:ascii="Times New Roman" w:eastAsia="Times New Roman" w:hAnsi="Times New Roman" w:cs="Times New Roman"/>
          <w:color w:val="0F1115"/>
          <w:sz w:val="28"/>
          <w:szCs w:val="28"/>
        </w:rPr>
        <w:t xml:space="preserve"> и так называемых утилитарных цифровых прав. Если ЦФА — это про финансы и ценные бумаги, то УЦП — это возможность зафиксировать в цифровой форме право требовать передачи вещи, выполнения работ, оказания услуг, а также прав на интеллектуальную собственность.</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Оператор инвестиционной платформы выступает посредником между инвестором и тем, кто привлекает инвестиции. Закон детально регламентирует правила платформы, ограничения для </w:t>
      </w:r>
      <w:proofErr w:type="spellStart"/>
      <w:r w:rsidRPr="001C6547">
        <w:rPr>
          <w:rFonts w:ascii="Times New Roman" w:eastAsia="Times New Roman" w:hAnsi="Times New Roman" w:cs="Times New Roman"/>
          <w:color w:val="0F1115"/>
          <w:sz w:val="28"/>
          <w:szCs w:val="28"/>
        </w:rPr>
        <w:t>инвесторов-физлиц</w:t>
      </w:r>
      <w:proofErr w:type="spellEnd"/>
      <w:r w:rsidRPr="001C6547">
        <w:rPr>
          <w:rFonts w:ascii="Times New Roman" w:eastAsia="Times New Roman" w:hAnsi="Times New Roman" w:cs="Times New Roman"/>
          <w:color w:val="0F1115"/>
          <w:sz w:val="28"/>
          <w:szCs w:val="28"/>
        </w:rPr>
        <w:t xml:space="preserve"> (не более 600 тысяч рублей в год, если инвестор — неквалифицированный) и порядок заключения сделок. Очень важно: утилитарные цифровые права не могут быть платежным средством (запрещено принимать их как оплату товаров). Их ценность — в возможности получить в будущем реальный товар или услугу от лица, привлекающего инвестиции, либо перепродать это право.</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Segoe UI" w:eastAsia="Times New Roman" w:hAnsi="Segoe UI" w:cs="Times New Roman"/>
          <w:color w:val="0F1115"/>
          <w:sz w:val="28"/>
          <w:szCs w:val="28"/>
        </w:rPr>
        <w:t>📌</w:t>
      </w:r>
      <w:r w:rsidRPr="001C6547">
        <w:rPr>
          <w:rFonts w:ascii="Times New Roman" w:eastAsia="Times New Roman" w:hAnsi="Times New Roman" w:cs="Times New Roman"/>
          <w:color w:val="0F1115"/>
          <w:sz w:val="28"/>
          <w:szCs w:val="28"/>
        </w:rPr>
        <w:t> </w:t>
      </w:r>
      <w:r w:rsidRPr="001C6547">
        <w:rPr>
          <w:rFonts w:ascii="Times New Roman" w:eastAsia="Times New Roman" w:hAnsi="Times New Roman" w:cs="Times New Roman"/>
          <w:b/>
          <w:bCs/>
          <w:color w:val="0F1115"/>
          <w:sz w:val="28"/>
          <w:szCs w:val="28"/>
        </w:rPr>
        <w:t>Источник:</w:t>
      </w:r>
      <w:r w:rsidRPr="001C6547">
        <w:rPr>
          <w:rFonts w:ascii="Times New Roman" w:eastAsia="Times New Roman" w:hAnsi="Times New Roman" w:cs="Times New Roman"/>
          <w:color w:val="0F1115"/>
          <w:sz w:val="28"/>
          <w:szCs w:val="28"/>
        </w:rPr>
        <w:t> Федеральный закон от 02.08.2019 № 259-ФЗ «О привлечении инвестиций с использованием инвестиционных платформ...» (ред. 2024)</w:t>
      </w:r>
      <w:r w:rsidRPr="001C6547">
        <w:rPr>
          <w:rFonts w:ascii="Times New Roman" w:eastAsia="Times New Roman" w:hAnsi="Times New Roman" w:cs="Times New Roman"/>
          <w:color w:val="0F1115"/>
          <w:sz w:val="28"/>
          <w:szCs w:val="28"/>
        </w:rPr>
        <w:br/>
        <w:t>Открыть текст документа</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480" w:after="240" w:line="240" w:lineRule="auto"/>
        <w:outlineLvl w:val="2"/>
        <w:rPr>
          <w:rFonts w:ascii="Times New Roman" w:eastAsia="Times New Roman" w:hAnsi="Times New Roman" w:cs="Times New Roman"/>
          <w:b/>
          <w:bCs/>
          <w:color w:val="0F1115"/>
          <w:sz w:val="28"/>
          <w:szCs w:val="28"/>
        </w:rPr>
      </w:pPr>
      <w:r w:rsidRPr="001C6547">
        <w:rPr>
          <w:rFonts w:ascii="Times New Roman" w:eastAsia="Times New Roman" w:hAnsi="Times New Roman" w:cs="Times New Roman"/>
          <w:b/>
          <w:bCs/>
          <w:color w:val="0F1115"/>
          <w:sz w:val="28"/>
          <w:szCs w:val="28"/>
        </w:rPr>
        <w:t>Пост 5. Финансовые платформы: как работают «супермаркеты» финансовых услуг</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Отдельный пласт регулирования — Федеральный закон «О совершении финансовых сделок с использованием финансовой платформы». Это закон о так называемом «открытом </w:t>
      </w:r>
      <w:proofErr w:type="spellStart"/>
      <w:r w:rsidRPr="001C6547">
        <w:rPr>
          <w:rFonts w:ascii="Times New Roman" w:eastAsia="Times New Roman" w:hAnsi="Times New Roman" w:cs="Times New Roman"/>
          <w:color w:val="0F1115"/>
          <w:sz w:val="28"/>
          <w:szCs w:val="28"/>
        </w:rPr>
        <w:t>банкинге</w:t>
      </w:r>
      <w:proofErr w:type="spellEnd"/>
      <w:r w:rsidRPr="001C6547">
        <w:rPr>
          <w:rFonts w:ascii="Times New Roman" w:eastAsia="Times New Roman" w:hAnsi="Times New Roman" w:cs="Times New Roman"/>
          <w:color w:val="0F1115"/>
          <w:sz w:val="28"/>
          <w:szCs w:val="28"/>
        </w:rPr>
        <w:t xml:space="preserve">» и </w:t>
      </w:r>
      <w:proofErr w:type="spellStart"/>
      <w:r w:rsidRPr="001C6547">
        <w:rPr>
          <w:rFonts w:ascii="Times New Roman" w:eastAsia="Times New Roman" w:hAnsi="Times New Roman" w:cs="Times New Roman"/>
          <w:color w:val="0F1115"/>
          <w:sz w:val="28"/>
          <w:szCs w:val="28"/>
        </w:rPr>
        <w:t>маркетплейсах</w:t>
      </w:r>
      <w:proofErr w:type="spellEnd"/>
      <w:r w:rsidRPr="001C6547">
        <w:rPr>
          <w:rFonts w:ascii="Times New Roman" w:eastAsia="Times New Roman" w:hAnsi="Times New Roman" w:cs="Times New Roman"/>
          <w:color w:val="0F1115"/>
          <w:sz w:val="28"/>
          <w:szCs w:val="28"/>
        </w:rPr>
        <w:t xml:space="preserve"> финансовых услуг. Цель оператора финансовой платформы — предоставить клиенту (получателю финансовых услуг) возможность дистанционно заключить сделку с разными банками, страховщиками или управляющими компаниями.</w:t>
      </w:r>
    </w:p>
    <w:p w:rsidR="001C6547" w:rsidRPr="001C6547" w:rsidRDefault="001C6547" w:rsidP="001C6547">
      <w:pPr>
        <w:shd w:val="clear" w:color="auto" w:fill="FFFFFF"/>
        <w:spacing w:before="240" w:after="240" w:line="240" w:lineRule="auto"/>
        <w:rPr>
          <w:rFonts w:ascii="Times New Roman" w:eastAsia="Times New Roman" w:hAnsi="Times New Roman" w:cs="Times New Roman"/>
          <w:color w:val="0F1115"/>
          <w:sz w:val="28"/>
          <w:szCs w:val="28"/>
        </w:rPr>
      </w:pPr>
      <w:r w:rsidRPr="001C6547">
        <w:rPr>
          <w:rFonts w:ascii="Times New Roman" w:eastAsia="Times New Roman" w:hAnsi="Times New Roman" w:cs="Times New Roman"/>
          <w:color w:val="0F1115"/>
          <w:sz w:val="28"/>
          <w:szCs w:val="28"/>
        </w:rPr>
        <w:t xml:space="preserve">Ключевая инновация — использование специального счета (номинального), который изолирует деньги клиента от средств оператора платформы. Оператор обязан проводить тестирование клиента перед тем, как позволить ему покупать сложные финансовые инструменты. Закон также защищает права граждан: если платформа незаконно признала вас </w:t>
      </w:r>
      <w:proofErr w:type="spellStart"/>
      <w:r w:rsidRPr="001C6547">
        <w:rPr>
          <w:rFonts w:ascii="Times New Roman" w:eastAsia="Times New Roman" w:hAnsi="Times New Roman" w:cs="Times New Roman"/>
          <w:color w:val="0F1115"/>
          <w:sz w:val="28"/>
          <w:szCs w:val="28"/>
        </w:rPr>
        <w:t>квалинвестором</w:t>
      </w:r>
      <w:proofErr w:type="spellEnd"/>
      <w:r w:rsidRPr="001C6547">
        <w:rPr>
          <w:rFonts w:ascii="Times New Roman" w:eastAsia="Times New Roman" w:hAnsi="Times New Roman" w:cs="Times New Roman"/>
          <w:color w:val="0F1115"/>
          <w:sz w:val="28"/>
          <w:szCs w:val="28"/>
        </w:rPr>
        <w:t xml:space="preserve"> и продала «сложные» бумаги, вы вправе требовать, чтобы оператор выкупил </w:t>
      </w:r>
      <w:r w:rsidRPr="001C6547">
        <w:rPr>
          <w:rFonts w:ascii="Times New Roman" w:eastAsia="Times New Roman" w:hAnsi="Times New Roman" w:cs="Times New Roman"/>
          <w:color w:val="0F1115"/>
          <w:sz w:val="28"/>
          <w:szCs w:val="28"/>
        </w:rPr>
        <w:lastRenderedPageBreak/>
        <w:t>их обратно. При этом оператор не является стороной сделки — он лишь «витрина» и технический посредник.</w:t>
      </w:r>
    </w:p>
    <w:p w:rsidR="001C6547" w:rsidRPr="001C6547" w:rsidRDefault="001C6547" w:rsidP="001C6547">
      <w:pPr>
        <w:spacing w:before="480" w:after="480" w:line="240" w:lineRule="auto"/>
        <w:rPr>
          <w:rFonts w:ascii="Times New Roman" w:eastAsia="Times New Roman" w:hAnsi="Times New Roman" w:cs="Times New Roman"/>
          <w:sz w:val="28"/>
          <w:szCs w:val="28"/>
        </w:rPr>
      </w:pPr>
    </w:p>
    <w:p w:rsidR="001C6547" w:rsidRPr="001C6547" w:rsidRDefault="001C6547" w:rsidP="001C6547">
      <w:pPr>
        <w:shd w:val="clear" w:color="auto" w:fill="FFFFFF"/>
        <w:spacing w:before="240" w:after="100" w:afterAutospacing="1" w:line="240" w:lineRule="auto"/>
        <w:rPr>
          <w:rFonts w:ascii="Times New Roman" w:eastAsia="Times New Roman" w:hAnsi="Times New Roman" w:cs="Times New Roman"/>
          <w:color w:val="0F1115"/>
          <w:sz w:val="28"/>
          <w:szCs w:val="28"/>
        </w:rPr>
      </w:pPr>
      <w:r w:rsidRPr="001C6547">
        <w:rPr>
          <w:rFonts w:ascii="Segoe UI" w:eastAsia="Times New Roman" w:hAnsi="Segoe UI" w:cs="Times New Roman"/>
          <w:color w:val="0F1115"/>
          <w:sz w:val="28"/>
          <w:szCs w:val="28"/>
        </w:rPr>
        <w:t>📌</w:t>
      </w:r>
      <w:r w:rsidRPr="001C6547">
        <w:rPr>
          <w:rFonts w:ascii="Times New Roman" w:eastAsia="Times New Roman" w:hAnsi="Times New Roman" w:cs="Times New Roman"/>
          <w:color w:val="0F1115"/>
          <w:sz w:val="28"/>
          <w:szCs w:val="28"/>
        </w:rPr>
        <w:t> </w:t>
      </w:r>
      <w:r w:rsidRPr="001C6547">
        <w:rPr>
          <w:rFonts w:ascii="Times New Roman" w:eastAsia="Times New Roman" w:hAnsi="Times New Roman" w:cs="Times New Roman"/>
          <w:b/>
          <w:bCs/>
          <w:color w:val="0F1115"/>
          <w:sz w:val="28"/>
          <w:szCs w:val="28"/>
        </w:rPr>
        <w:t>Источник:</w:t>
      </w:r>
      <w:r w:rsidRPr="001C6547">
        <w:rPr>
          <w:rFonts w:ascii="Times New Roman" w:eastAsia="Times New Roman" w:hAnsi="Times New Roman" w:cs="Times New Roman"/>
          <w:color w:val="0F1115"/>
          <w:sz w:val="28"/>
          <w:szCs w:val="28"/>
        </w:rPr>
        <w:t> Федеральный закон от 20.07.2020 № 211-ФЗ «О совершении финансовых сделок с использованием финансовой платформы»</w:t>
      </w:r>
      <w:r w:rsidRPr="001C6547">
        <w:rPr>
          <w:rFonts w:ascii="Times New Roman" w:eastAsia="Times New Roman" w:hAnsi="Times New Roman" w:cs="Times New Roman"/>
          <w:color w:val="0F1115"/>
          <w:sz w:val="28"/>
          <w:szCs w:val="28"/>
        </w:rPr>
        <w:br/>
        <w:t>Актуальная версия с изменениями 2025 года</w:t>
      </w:r>
    </w:p>
    <w:p w:rsidR="00667DD6" w:rsidRPr="001C6547" w:rsidRDefault="00667DD6">
      <w:pPr>
        <w:rPr>
          <w:rFonts w:ascii="Times New Roman" w:hAnsi="Times New Roman" w:cs="Times New Roman"/>
          <w:sz w:val="28"/>
          <w:szCs w:val="28"/>
        </w:rPr>
      </w:pPr>
    </w:p>
    <w:sectPr w:rsidR="00667DD6" w:rsidRPr="001C654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compat>
    <w:useFELayout/>
  </w:compat>
  <w:rsids>
    <w:rsidRoot w:val="001C6547"/>
    <w:rsid w:val="001C6547"/>
    <w:rsid w:val="00667DD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1C65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C6547"/>
    <w:rPr>
      <w:rFonts w:ascii="Times New Roman" w:eastAsia="Times New Roman" w:hAnsi="Times New Roman" w:cs="Times New Roman"/>
      <w:b/>
      <w:bCs/>
      <w:sz w:val="27"/>
      <w:szCs w:val="27"/>
    </w:rPr>
  </w:style>
  <w:style w:type="character" w:styleId="a3">
    <w:name w:val="Strong"/>
    <w:basedOn w:val="a0"/>
    <w:uiPriority w:val="22"/>
    <w:qFormat/>
    <w:rsid w:val="001C6547"/>
    <w:rPr>
      <w:b/>
      <w:bCs/>
    </w:rPr>
  </w:style>
  <w:style w:type="paragraph" w:customStyle="1" w:styleId="ds-markdown-paragraph">
    <w:name w:val="ds-markdown-paragraph"/>
    <w:basedOn w:val="a"/>
    <w:rsid w:val="001C65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7487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2026-04-24T14:43:00Z</dcterms:created>
  <dcterms:modified xsi:type="dcterms:W3CDTF">2026-04-24T14:44:00Z</dcterms:modified>
</cp:coreProperties>
</file>