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Guión de video tipo motion graphic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guion_01_Burnout_video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Título: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Presentación del curso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Estilo: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Iconográfico y minimalista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Propósito: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Presentar visualmente el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i w:val="0"/>
          <w:iCs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iCs w:val="0"/>
          <w:color w:val="000000"/>
          <w:sz w:val="24"/>
          <w:szCs w:val="24"/>
          <w:u w:val="single"/>
          <w:vertAlign w:val="baseline"/>
          <w:rtl w:val="0"/>
        </w:rPr>
        <w:t xml:space="preserve">Instrucciones:</w:t>
      </w:r>
      <w:r w:rsidDel="00000000" w:rsidR="00000000" w:rsidRPr="00000000">
        <w:rPr>
          <w:rFonts w:ascii="Calibri" w:cs="Calibri" w:eastAsia="Calibri" w:hAnsi="Calibri"/>
          <w:i w:val="0"/>
          <w:iCs w:val="0"/>
          <w:color w:val="000000"/>
          <w:sz w:val="24"/>
          <w:szCs w:val="24"/>
          <w:u w:val="none"/>
          <w:vertAlign w:val="baseline"/>
          <w:rtl w:val="0"/>
        </w:rPr>
        <w:t xml:space="preserve"> Utilizar la paleta de colores corporativos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i w:val="0"/>
          <w:iCs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580.0" w:type="dxa"/>
        <w:jc w:val="left"/>
        <w:tblInd w:w="-12.00000000000001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565"/>
        <w:gridCol w:w="4080"/>
        <w:gridCol w:w="3900"/>
        <w:gridCol w:w="1035"/>
        <w:tblGridChange w:id="0">
          <w:tblGrid>
            <w:gridCol w:w="5565"/>
            <w:gridCol w:w="4080"/>
            <w:gridCol w:w="3900"/>
            <w:gridCol w:w="103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Voz en off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Texto en pantalla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Instrucciones de producción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ce4d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Duración</w:t>
            </w:r>
          </w:p>
        </w:tc>
      </w:tr>
      <w:tr>
        <w:trPr>
          <w:cantSplit w:val="0"/>
          <w:trHeight w:val="55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Música suave institucional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  <w:rtl w:val="0"/>
              </w:rPr>
              <w:t xml:space="preserve">Cortinilla de inicio con base a la imagen corporativa del cliente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0:05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Prevención y atención del Burnout y Bienestar Laboral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  <w:rtl w:val="0"/>
              </w:rPr>
              <w:t xml:space="preserve">Se presenta en pantalla el título del vídeo, es decir, el del curso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0:05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El mundo laboral actual es dinámico, acelerado y demandante. Nos impulsa a crecer, pero también puede llevarnos a un punto de desgaste profundo.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  <w:rtl w:val="0"/>
              </w:rPr>
              <w:t xml:space="preserve">Presentar imágenes de oficina moderna, personas trabajando concentradas.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0:20</w:t>
            </w:r>
          </w:p>
        </w:tc>
      </w:tr>
      <w:tr>
        <w:trPr>
          <w:cantSplit w:val="0"/>
          <w:trHeight w:val="12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Cuando la exigencia constante supera nuestra capacidad de recuperación, aparece el burnout: un síndrome reconocido por la OMS como resultado del estrés crónico laboral no manejado con éxito.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Burnout </w:t>
              <w:br w:type="textWrapping"/>
              <w:t xml:space="preserve">= </w:t>
              <w:br w:type="textWrapping"/>
              <w:t xml:space="preserve">Estrés laboral crónico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  <w:rtl w:val="0"/>
              </w:rPr>
              <w:t xml:space="preserve">Animación simple con palabra “Burnout”  más definición breve. Iconografía: energía baja, estrés.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0:25</w:t>
            </w:r>
          </w:p>
        </w:tc>
      </w:tr>
      <w:tr>
        <w:trPr>
          <w:cantSplit w:val="0"/>
          <w:trHeight w:val="19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Este curso te ayudará a identificar los síntomas, causas y consecuencias del síndrome de burnout, comprender su impacto en la salud y el desempeño, y a adoptar estrategias personales para prevenirlo y así mantener una vida laboral equilibrada y saludable.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bookmarkStart w:colFirst="0" w:colLast="0" w:name="_heading=h.cv09wdt9eyzo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Objetivo: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u w:val="none"/>
                <w:rtl w:val="0"/>
              </w:rPr>
              <w:br w:type="textWrapping"/>
              <w:t xml:space="preserve">Identificar los síntomas, causas y consecuencias del síndrome de burnout, comprender su impacto en la salud y el desempeño, y a adoptar estrategias personales para prevenirlo y así mantener una vida laboral equilibrada y saludable.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  <w:rtl w:val="0"/>
              </w:rPr>
              <w:t xml:space="preserve">Aparece objetivo en pantalla con iconos: lupa, cerebro, bienestar.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0:20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El curso consta de cuatro unidades. Veamos qué aprenderás en cada una.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  <w:rtl w:val="0"/>
              </w:rPr>
              <w:t xml:space="preserve">Ícono de un temario, con animación sencilla.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0:05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En la unidad 1, aprenderás qué es el burnout, sus etapas, cómo distinguirlo del estrés común y cómo impacta en tu salud y rendimiento.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Unidad 1: Comprendiendo el Burnout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  <w:rtl w:val="0"/>
              </w:rPr>
              <w:t xml:space="preserve">Transición lateral. Visuales: etapas, barra de energía bajando.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0:30</w:t>
            </w:r>
          </w:p>
        </w:tc>
      </w:tr>
      <w:tr>
        <w:trPr>
          <w:cantSplit w:val="0"/>
          <w:trHeight w:val="9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En la unidad 2,  identificarás señales tempranas y factores de riesgo laborales y personales, alineados con la NOM-035 en México.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Unidad 2: Señales y factores de riesgo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  <w:rtl w:val="0"/>
              </w:rPr>
              <w:t xml:space="preserve">Mostrar listado breve, iconos: alerta, carga laboral, reconocimiento.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0:30</w:t>
            </w:r>
          </w:p>
        </w:tc>
      </w:tr>
      <w:tr>
        <w:trPr>
          <w:cantSplit w:val="0"/>
          <w:trHeight w:val="11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En la unidad 3, desarrollarás estrategias personales de prevención: autocuidado físico, emocional y social; gestión del tiempo; priorización; técnicas de relajación y establecimiento de límites saludables.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Unidad 3: Estrategias personales de prevención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  <w:rtl w:val="0"/>
              </w:rPr>
              <w:t xml:space="preserve">Mostrar escenas: pausas activas, respiración, agenda, socialización.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0:35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Finalmente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, en la unidad 4, Además, conocerás el papel de la organización, el liderazgo y el trabajo en equipo como red de apoyo para prevenir el desgaste laboral.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Unidad 4: Red de apoyo organizacional y trabajo en equipo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  <w:rtl w:val="0"/>
              </w:rPr>
              <w:t xml:space="preserve">Visual: equipo colaborando, líder escuchando, ambiente positivo.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0:30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El burnout no es falta de capacidad. Es una señal de que algo en el entorno o en los hábitos debe ajustarse. Reconocerlo es valentía, y actuar a tiempo cambia el rumbo.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“Reconocerlo es valentía”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  <w:rtl w:val="0"/>
              </w:rPr>
              <w:t xml:space="preserve">Música ligeramente más emocional. Close-up emocional de personas reflexionando.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0:25</w:t>
            </w:r>
          </w:p>
        </w:tc>
      </w:tr>
      <w:tr>
        <w:trPr>
          <w:cantSplit w:val="0"/>
          <w:trHeight w:val="1310.70312499999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jc w:val="left"/>
              <w:rPr>
                <w:i w:val="0"/>
                <w:iCs w:val="0"/>
                <w:color w:val="000000"/>
                <w:sz w:val="20"/>
                <w:szCs w:val="20"/>
                <w:highlight w:val="yellow"/>
                <w:u w:val="none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El burnout proviene de un agotamiento por demandas laborales crónicas, pero no debemos confundirlo con la frustración o el estrés generados por la acumulación de trabajo derivada de la procrastinación, el ausentismo o la falta de disciplina.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El burnout NO es:</w:t>
            </w:r>
          </w:p>
          <w:p w:rsidR="00000000" w:rsidDel="00000000" w:rsidP="00000000" w:rsidRDefault="00000000" w:rsidRPr="00000000" w14:paraId="0000003B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Frustración o estrés generado por la acumulación de trabajo derivada de la procrastinación, ausentismo o la falta de disciplina.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highlight w:val="yellow"/>
                <w:u w:val="none"/>
              </w:rPr>
            </w:pPr>
            <w:r w:rsidDel="00000000" w:rsidR="00000000" w:rsidRPr="00000000">
              <w:rPr>
                <w:color w:val="bf4f14"/>
                <w:highlight w:val="yellow"/>
                <w:rtl w:val="0"/>
              </w:rPr>
              <w:t xml:space="preserve">Persona durmiendo en el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sz w:val="22"/>
                <w:szCs w:val="22"/>
                <w:highlight w:val="yellow"/>
                <w:rtl w:val="0"/>
              </w:rPr>
              <w:t xml:space="preserve">0:25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A lo largo del curso tendrás ejercicios, casos reales, cuestionarios y microacciones aplicables desde hoy.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Conocerás herramientas prácticas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  <w:rtl w:val="0"/>
              </w:rPr>
              <w:t xml:space="preserve">Animación: checklist marcándose, íconos de casos, ejercicios.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0:25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Este es un esfuerzo compartido: tú y la organización pueden crear un entorno más saludable, productivo y humano.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Bienestar laboral sostenible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  <w:rtl w:val="0"/>
              </w:rPr>
              <w:t xml:space="preserve">Visual: equipo celebrando, empresa positiva.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0:25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Te damos la bienvenida al curso de Prevención y Atención del Burnout y Bienestar Laboral. ¡Comencemos!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¡Bienvenidos!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  <w:rtl w:val="0"/>
              </w:rPr>
              <w:t xml:space="preserve">Logo institucional, fade out música.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0:20</w:t>
            </w:r>
          </w:p>
        </w:tc>
      </w:tr>
      <w:tr>
        <w:trPr>
          <w:cantSplit w:val="0"/>
          <w:trHeight w:val="593.281249999999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  <w:rtl w:val="0"/>
              </w:rPr>
              <w:t xml:space="preserve">La música se desvanece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jc w:val="left"/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  <w:rtl w:val="0"/>
              </w:rPr>
              <w:t xml:space="preserve">Cortinilla de cierre con base </w:t>
            </w:r>
            <w:r w:rsidDel="00000000" w:rsidR="00000000" w:rsidRPr="00000000">
              <w:rPr>
                <w:color w:val="bf4f14"/>
                <w:rtl w:val="0"/>
              </w:rPr>
              <w:t xml:space="preserve">en la</w:t>
            </w: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  <w:rtl w:val="0"/>
              </w:rPr>
              <w:t xml:space="preserve"> imagen corporativa del cliente.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0:05</w:t>
            </w:r>
          </w:p>
        </w:tc>
      </w:tr>
      <w:tr>
        <w:trPr>
          <w:cantSplit w:val="0"/>
          <w:trHeight w:val="536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jc w:val="right"/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color w:val="bf4f14"/>
                <w:sz w:val="20"/>
                <w:szCs w:val="20"/>
                <w:u w:val="none"/>
                <w:rtl w:val="0"/>
              </w:rPr>
              <w:t xml:space="preserve">Duración aproximada en minutos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jc w:val="center"/>
              <w:rPr>
                <w:rFonts w:ascii="Calibri" w:cs="Calibri" w:eastAsia="Calibri" w:hAnsi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000000"/>
                <w:sz w:val="22"/>
                <w:szCs w:val="22"/>
                <w:u w:val="none"/>
                <w:rtl w:val="0"/>
              </w:rPr>
              <w:t xml:space="preserve">5:</w:t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>
          <w:rFonts w:ascii="Calibri" w:cs="Calibri" w:eastAsia="Calibri" w:hAnsi="Calibri"/>
          <w:i w:val="0"/>
          <w:iCs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850.3937007874016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2" w:default="1">
    <w:name w:val="Default Paragraph Font"/>
    <w:uiPriority w:val="0"/>
    <w:semiHidden w:val="1"/>
    <w:qFormat w:val="1"/>
  </w:style>
  <w:style w:type="table" w:styleId="3" w:default="1">
    <w:name w:val="Normal Table"/>
    <w:uiPriority w:val="0"/>
    <w:semiHidden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4">
    <w:name w:val="header"/>
    <w:basedOn w:val="1"/>
    <w:uiPriority w:val="0"/>
    <w:qFormat w:val="1"/>
    <w:pPr>
      <w:tabs>
        <w:tab w:val="center" w:pos="4153"/>
        <w:tab w:val="right" w:pos="8306"/>
      </w:tabs>
    </w:pPr>
  </w:style>
  <w:style w:type="paragraph" w:styleId="5">
    <w:name w:val="Normal (Web)"/>
    <w:uiPriority w:val="0"/>
    <w:qFormat w:val="1"/>
    <w:pPr>
      <w:spacing w:after="0" w:afterAutospacing="1" w:before="0" w:beforeAutospacing="1"/>
      <w:ind w:left="0" w:right="0"/>
      <w:jc w:val="left"/>
    </w:pPr>
    <w:rPr>
      <w:rFonts w:ascii="Times New Roman" w:cs="Times New Roman" w:eastAsia="SimSun" w:hAnsi="Times New Roman"/>
      <w:kern w:val="0"/>
      <w:sz w:val="24"/>
      <w:szCs w:val="24"/>
      <w:lang w:bidi="ar" w:eastAsia="zh-CN" w:val="en-US"/>
    </w:r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</w:pPr>
  </w:style>
  <w:style w:type="character" w:styleId="7" w:customStyle="1">
    <w:name w:val="font31"/>
    <w:uiPriority w:val="0"/>
    <w:rPr>
      <w:rFonts w:ascii="Calibri" w:cs="Calibri" w:hAnsi="Calibri" w:hint="default"/>
      <w:color w:val="000000"/>
      <w:sz w:val="20"/>
      <w:szCs w:val="20"/>
      <w:u w:val="no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zFfop9x84GdeNoTYk14LLpOO6g==">CgMxLjAyDmguY3YwOXdkdDlleXpvOAByITFPbW5OUm5rTzNBbDlJV0ZtOElvUENIdEVmX3hfV3Flcw==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2025-11-24T18:21:00Z</dcterms:created>
  <dc:creator>DIANA GUTIERREZ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5F6843E22E5E425B826949908947E489_12</vt:lpwstr>
  </property>
</Properties>
</file>