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Guión de video tipo motion 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guion_09_Burnout_video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Título: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Cierre del curso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Estilo: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Iconográfico y minimalista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Presentar visualmente el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single"/>
          <w:vertAlign w:val="baseline"/>
          <w:rtl w:val="0"/>
        </w:rPr>
        <w:t xml:space="preserve">Instrucciones: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  <w:rtl w:val="0"/>
        </w:rPr>
        <w:t xml:space="preserve"> Utilizar la paleta de colores corporativos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18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115"/>
        <w:gridCol w:w="3659"/>
        <w:gridCol w:w="3649"/>
        <w:gridCol w:w="1095"/>
        <w:tblGridChange w:id="0">
          <w:tblGrid>
            <w:gridCol w:w="6115"/>
            <w:gridCol w:w="3659"/>
            <w:gridCol w:w="3649"/>
            <w:gridCol w:w="1095"/>
          </w:tblGrid>
        </w:tblGridChange>
      </w:tblGrid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Voz en 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Texto en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Instrucciones de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Duración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Música suave institucional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Cortinilla de inicio con base a la imagen corporativa del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Hemos llegado al cierre del curso sobre Prevención y Atención del Burnout y Bienestar Laboral. Hoy queremos reforzar los aprendizajes clave que te acompañarán en tu vida profesional.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Repaso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0:15</w:t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Prevención y Atención del Burnout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Prevención y Atención del Burnout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Algunas imágenes que representen estrés laboral y colaboradores cansados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 lo largo del curso conociste qué es el burnout, cómo surge y por qué es esencial detectarlo antes de que afecte tu salud, tu energía y tu rendimiento.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                         ¿Qué aprendimos?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u w:val="none"/>
                <w:rtl w:val="0"/>
              </w:rPr>
              <w:br w:type="textWrapping"/>
              <w:t xml:space="preserve">• Qué es el Burnout</w:t>
              <w:br w:type="textWrapping"/>
              <w:t xml:space="preserve">• Por qué ocurre</w:t>
              <w:br w:type="textWrapping"/>
              <w:t xml:space="preserve">• Su impacto en salud y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Aparecerán la pregunta y los bullets.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Revisamos las etapas del agotamiento laboral y aprendimos a diferenciar el estrés temporal del burnout, que es crónico y demanda acciones urgentes.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Etapas del Burnout</w:t>
              <w:br w:type="textWrapping"/>
              <w:t xml:space="preserve">vs. </w:t>
              <w:br w:type="textWrapping"/>
              <w:t xml:space="preserve">Estrés laboral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Gráfica comparativa con transición suave.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0:07</w:t>
            </w:r>
          </w:p>
        </w:tc>
      </w:tr>
      <w:tr>
        <w:trPr>
          <w:cantSplit w:val="0"/>
          <w:trHeight w:val="9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También exploraste señales emocionales, cognitivas y conductuales, así como factores laborales y personales que pueden detonar el agotamiento si no se atienden.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Señales y factores de 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Siluetas animadas e iconos de carga laboral y emociones.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Comprendiste la importancia de evaluar cómo te sientes, usando herramientas como el diagnóstico de Burnout para tomar decisiones a tiempo.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Diagnóstico personal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Una persona respondiendo un test.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Practicaste estrategias de autocuidado físico, emocional y social, técnicas de respiración y habilidades para gestionar el tiempo sin caer en multitareas que desgastan.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Estrategias personales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• Autocuidado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• Autocuidado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Una persona haciendo ejercicio.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• Gestión del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• Gestión del tiempo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Una persona mirando el reloj.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• Relajación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• Relajación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Personas respirando, estirando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10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Reflexionaste sobre la importancia de establecer límites realistas, </w:t>
            </w:r>
            <w:r w:rsidDel="00000000" w:rsidR="00000000" w:rsidRPr="00000000">
              <w:rPr>
                <w:rtl w:val="0"/>
              </w:rPr>
              <w:t xml:space="preserve">desconectarse al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 terminar la jornada y cuidar tu energía para rendir de forma sostenible.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Límites saludables </w:t>
              <w:br w:type="textWrapping"/>
              <w:t xml:space="preserve">= </w:t>
              <w:br w:type="textWrapping"/>
              <w:t xml:space="preserve">Energía + Claridad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Iconos de “no molestar”, reloj y laptop cerrándose.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colFirst="0" w:colLast="0" w:name="_heading=h.khyzthyl35gc" w:id="0"/>
            <w:bookmarkEnd w:id="0"/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Aprendiste a pedir apoyo con asertividad, usando la fórmula Hecho–Impacto–Solicitud para comunicar necesidades sin temor ni culpa.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Hecho → Impacto →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Presentar fórmula.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Revisamos cómo el bienestar también depende del entorno laboral: liderazgo saludable, comunicación empática, trabajo en equipo y prácticas organizacionales que protegen a las personas.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Red de apoyo y cultura de bienestar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Iconos de líderes, equipo, flexibilidad y políticas de desconexión.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9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Cuidar tu bienestar no es opcional: es una responsabilidad contigo y con tu desarrollo profesional. Identificar señales, pedir apoyo y practicar hábitos saludables te permitirá sostener tu energía y tu mejor versión.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Bienestar sostenible </w:t>
              <w:br w:type="textWrapping"/>
              <w:t xml:space="preserve">= </w:t>
              <w:br w:type="textWrapping"/>
              <w:t xml:space="preserve">Personas + Entornos saludables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Ilustración final con luz suave e imágenes colaborativas.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0:10</w:t>
            </w:r>
          </w:p>
        </w:tc>
      </w:tr>
      <w:tr>
        <w:trPr>
          <w:cantSplit w:val="0"/>
          <w:trHeight w:val="11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Gracias por completar este curso. Recuerda: prevenir el Burnout es un proceso continuo que construimos con acciones diarias.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Gracias por participar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Personas felices en el trabajo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0:08</w:t>
            </w:r>
          </w:p>
        </w:tc>
      </w:tr>
      <w:tr>
        <w:trPr>
          <w:cantSplit w:val="0"/>
          <w:trHeight w:val="6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 recuerdo...</w:t>
              <w:br w:type="textWrapping"/>
              <w:t xml:space="preserve">Tu bienestar también es parte de tu éxito laboral.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2"/>
                <w:szCs w:val="22"/>
                <w:u w:val="none"/>
                <w:rtl w:val="0"/>
              </w:rPr>
              <w:t xml:space="preserve">Tu bienestar también </w:t>
              <w:br w:type="textWrapping"/>
              <w:t xml:space="preserve">es parte de tu éxito laboral.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7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La música se desvanece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Cortinilla de cierre con base a la imagen corporativa del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jc w:val="righ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Duración aproximada en minutos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2:15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  <w:qFormat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header"/>
    <w:basedOn w:val="1"/>
    <w:uiPriority w:val="0"/>
    <w:qFormat w:val="1"/>
    <w:pPr>
      <w:tabs>
        <w:tab w:val="center" w:pos="4153"/>
        <w:tab w:val="right" w:pos="8306"/>
      </w:tabs>
    </w:pPr>
  </w:style>
  <w:style w:type="paragraph" w:styleId="5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  <w:style w:type="character" w:styleId="7" w:customStyle="1">
    <w:name w:val="font31"/>
    <w:uiPriority w:val="0"/>
    <w:rPr>
      <w:rFonts w:ascii="Calibri" w:cs="Calibri" w:hAnsi="Calibri" w:hint="default"/>
      <w:color w:val="000000"/>
      <w:sz w:val="20"/>
      <w:szCs w:val="20"/>
      <w:u w:val="none"/>
    </w:rPr>
  </w:style>
  <w:style w:type="character" w:styleId="8" w:customStyle="1">
    <w:name w:val="font01"/>
    <w:uiPriority w:val="0"/>
    <w:rPr>
      <w:rFonts w:ascii="Calibri" w:cs="Calibri" w:hAnsi="Calibri" w:hint="default"/>
      <w:color w:val="000000"/>
      <w:sz w:val="22"/>
      <w:szCs w:val="22"/>
      <w:u w:val="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BPvbElc0cC8DV1WvTPRkKE/wg==">CgMxLjAyDmgua2h5enRoeWwzNWdjOAByITFJSjYyd1VBQXlQWXJELVJhdnZaSGRtNzZrX0VZbThhRg==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2025-11-24T18:21:00Z</dcterms:created>
  <dc:creator>DIANA GUTIERREZ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5F6843E22E5E425B826949908947E489_12</vt:lpwstr>
  </property>
</Properties>
</file>