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x49f8pzs1g4" w:id="0"/>
      <w:bookmarkEnd w:id="0"/>
      <w:r w:rsidDel="00000000" w:rsidR="00000000" w:rsidRPr="00000000">
        <w:rPr>
          <w:rtl w:val="0"/>
        </w:rPr>
        <w:t xml:space="preserve">Communiquer au travers d’un teaser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vwulya1zeqq" w:id="1"/>
      <w:bookmarkEnd w:id="1"/>
      <w:r w:rsidDel="00000000" w:rsidR="00000000" w:rsidRPr="00000000">
        <w:rPr>
          <w:rtl w:val="0"/>
        </w:rPr>
        <w:t xml:space="preserve">Intro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Qu’est ce qu’un teaser?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Support de communication utilisé en marketing dont le format est court et concis centré sur les éléments majeurs et sensibles d’un produit ou d’un service.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cet  égard, il requiert des techniques de communication qui s’appuie essentiellement sur une fonction phatique/créative, une fonction référentielle rigoureusement déterminé, une fonction réflexive exploité essentiellement au travers du rythme et une fonction stylistique qui exploite les aspects sémantiques de l’image et ses aspects artistiques (couleur/police etc…)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uaq7tb5y8264" w:id="2"/>
      <w:bookmarkEnd w:id="2"/>
      <w:r w:rsidDel="00000000" w:rsidR="00000000" w:rsidRPr="00000000">
        <w:rPr>
          <w:rtl w:val="0"/>
        </w:rPr>
        <w:t xml:space="preserve">I/Méthodologie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1)Déterminer le périmètre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quel cadre 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quoi parle-t-on?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2)Mettre en évidence les éléments principaux à exploiter =&gt; thèmes + sous-thème (brainstorming)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3) Structurer l’ensemble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plan/progression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4)Réaliser un synopsis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scénariser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résumé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5) vidéo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parties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6)Voix off -&gt; expressivité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7)Musique -&gt; expressivité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projets tutorés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pédagogie par projet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partenariat avec l’unesco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label-idea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innovation pédagogique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design thinking-&gt;5 étapes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-&gt;Comment enrichir l’expérience utilisateur?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Valorisation du patrimoine mondial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médiation culturelle et numérique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Un site. Pourquoi ce site ?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votre appli/présentation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