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Аналіз та оптимізація запитів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Навчитися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пришвидчення.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Визначити індекси таблиці.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Проаналізувати ефективність запитів.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Створити додаткові індекси для таблиці.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Дослідити процес виконання запитів за допомогою EXPLAIN. 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Визначити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індекси таблиці.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SHOW INDEX FROM user;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  <w:r>
        <w:drawing>
          <wp:inline distT="0" distB="0" distL="114300" distR="114300">
            <wp:extent cx="6186170" cy="293370"/>
            <wp:effectExtent l="0" t="0" r="5080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1861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uk-UA" w:bidi="ar-SA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Проаналізувати ефективність запитів.</w:t>
      </w: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EXPLAIN SELECT group_name AS category, COUNT(db_sht.order.id) AS amount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FROM (((db_sht.group INNER JOIN article_group)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INNER JOIN goods)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INNER JOIN db_sht.order)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            INNER JOIN db_sht.user ON db_sht.user.email = '1233@hots.com'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AND user.id = db_sht.order.user_id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 db_sht.order.id = goods.order_id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 goods.goods_id = article_group.goods_id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            AND article_group.group_id = db_sht.group.id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TO_DAYS(CURRENT_DATE) - TO_DAYS(db_sht.order.ordered) &lt;= 31</w:t>
      </w:r>
    </w:p>
    <w:p>
      <w:pPr>
        <w:numPr>
          <w:numId w:val="0"/>
        </w:numPr>
        <w:bidi w:val="0"/>
        <w:ind w:leftChars="200"/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GROUP BY category; </w:t>
      </w:r>
      <w:r>
        <w:br w:type="textWrapping"/>
      </w:r>
      <w:r>
        <w:drawing>
          <wp:inline distT="0" distB="0" distL="114300" distR="114300">
            <wp:extent cx="6343015" cy="737235"/>
            <wp:effectExtent l="0" t="0" r="635" b="571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</w:pPr>
    </w:p>
    <w:p>
      <w:pPr>
        <w:numPr>
          <w:numId w:val="0"/>
        </w:numPr>
        <w:bidi w:val="0"/>
        <w:ind w:leftChars="200"/>
        <w:rPr>
          <w:rFonts w:hint="default"/>
          <w:lang w:val="uk-UA"/>
        </w:rPr>
      </w:pP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EXPLAIN SELECT group_name AS category, COUNT(db_sht.order.id) AS amount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FROM (((db_sht.group INNER JOIN article_group)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INNER JOIN goods)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INNER JOIN db_sht.order)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            INNER JOIN db_sht.user ON db_sht.user.email = '1233@hots.com'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AND user.id = db_sht.order.user_id 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 db_sht.order.id = goods.order_id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 goods.goods_id = article_group.goods_id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 xml:space="preserve">            AND article_group.group_id = db_sht.group.id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db_sht.order.ordered &gt;= DATE_SUB(CURRENT_DATE, INTERVAL 31 DAY)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GROUP BY category; </w:t>
      </w:r>
    </w:p>
    <w:p>
      <w:pPr>
        <w:numPr>
          <w:numId w:val="0"/>
        </w:numPr>
        <w:bidi w:val="0"/>
        <w:ind w:leftChars="200"/>
      </w:pPr>
      <w:r>
        <w:br w:type="textWrapping"/>
      </w:r>
      <w:r>
        <w:drawing>
          <wp:inline distT="0" distB="0" distL="114300" distR="114300">
            <wp:extent cx="6269990" cy="768985"/>
            <wp:effectExtent l="0" t="0" r="16510" b="1206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 бачимо в залежності від формування функції вибору запиту, сама вибірка може проводитися. Про це свідчить поле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відображає по яких полях відбувається вибірка. Втаблиці ордер вона має проводитися по одному полю. Також це видно в полі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Extras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де вказані дії, що відбувається з кожною таблицею при вибірці – використовується тимчасове з’єднання, що сповільнює операцію вибірки.</w:t>
      </w: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Створити додаткові індекси для таблиці.</w:t>
      </w:r>
    </w:p>
    <w:p>
      <w:pPr>
        <w:numPr>
          <w:ilvl w:val="1"/>
          <w:numId w:val="2"/>
        </w:numPr>
        <w:bidi w:val="0"/>
        <w:ind w:left="420"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br w:type="textWrapping"/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SHOW INDEX FROM user;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ALTER TABLE user MODIFY email varchar(50);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CREATE UNIQUE INDEX user_coupled_index_1 ON user (id, email);</w:t>
      </w:r>
    </w:p>
    <w:p>
      <w:pPr>
        <w:numPr>
          <w:numId w:val="0"/>
        </w:numPr>
        <w:bidi w:val="0"/>
        <w:ind w:leftChars="200"/>
        <w:rPr>
          <w:rFonts w:hint="default"/>
        </w:rPr>
      </w:pP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-- ALTER TABLE order MODIFY email varchar(50);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CREATE UNIQUE INDEX order_index_1 ON db_sht.order (id);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alter table goods drop index goods_index_1;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CREATE UNIQUE INDEX goods_index_1 ON goods (id, order_id);</w:t>
      </w:r>
    </w:p>
    <w:p>
      <w:pPr>
        <w:numPr>
          <w:numId w:val="0"/>
        </w:numPr>
        <w:bidi w:val="0"/>
        <w:ind w:leftChars="200"/>
        <w:rPr>
          <w:rFonts w:hint="default"/>
        </w:rPr>
      </w:pPr>
    </w:p>
    <w:p>
      <w:pPr>
        <w:numPr>
          <w:numId w:val="0"/>
        </w:numPr>
        <w:bidi w:val="0"/>
        <w:ind w:leftChars="200"/>
        <w:rPr>
          <w:rFonts w:hint="default"/>
        </w:rPr>
      </w:pP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default"/>
        </w:rPr>
        <w:t>SHOW INDEX FROM goods;</w:t>
      </w:r>
    </w:p>
    <w:p>
      <w:pPr>
        <w:numPr>
          <w:numId w:val="0"/>
        </w:numPr>
        <w:bidi w:val="0"/>
        <w:ind w:leftChars="200"/>
      </w:pPr>
      <w:r>
        <w:br w:type="textWrapping"/>
      </w:r>
      <w:r>
        <w:drawing>
          <wp:inline distT="0" distB="0" distL="114300" distR="114300">
            <wp:extent cx="6111875" cy="471170"/>
            <wp:effectExtent l="0" t="0" r="3175" b="508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/>
          <w:lang w:val="uk-UA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Дослідити процес виконання запитів за допомогою EXPLAIN.</w:t>
      </w: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EXPLAIN SELECT group_name AS category, COUNT(db_sht.order.id) AS amount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FROM (((db_sht.group INNER JOIN article_group)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INNER JOIN goods)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INNER JOIN db_sht.order)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  INNER JOIN db_sht.user ON db_sht.user.email = '1233@hots.com'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AND user.id = db_sht.order.user_id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AND db_sht.order.id = goods.order_id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AND goods.goods_id = article_group.goods_id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  AND article_group.group_id = db_sht.group.id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WHERE TO_DAYS(CURRENT_DATE) - TO_DAYS(db_sht.order.ordered) &lt;= 31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GROUP BY category;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440" w:firstLineChars="200"/>
      </w:pPr>
      <w:r>
        <w:drawing>
          <wp:inline distT="0" distB="0" distL="114300" distR="114300">
            <wp:extent cx="6112510" cy="697230"/>
            <wp:effectExtent l="0" t="0" r="2540" b="762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1"/>
          <w:numId w:val="2"/>
        </w:numPr>
        <w:bidi w:val="0"/>
        <w:ind w:left="420"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EXPLAIN SELECT group_name AS category, COUNT(db_sht.order.id) AS amount 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FROM (((db_sht.group INNER JOIN article_group) 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INNER JOIN goods) 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INNER JOIN db_sht.order) 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INNER JOIN db_sht.user ON db_sht.user.email = '1233@hots.com'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AND user.id = db_sht.order.user_id 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 db_sht.order.id = goods.order_id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 goods.goods_id = article_group.goods_id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 article_group.group_id = db_sht.group.id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WHERE db_sht.order.ordered &gt;= DATE_SUB(CURRENT_DATE, INTERVAL 31 DAY)</w:t>
      </w:r>
    </w:p>
    <w:p>
      <w:pPr>
        <w:numPr>
          <w:numId w:val="0"/>
        </w:numPr>
        <w:bidi w:val="0"/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GROUP BY category;</w:t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/>
          <w:lang w:val="uk-UA"/>
        </w:rPr>
      </w:pPr>
      <w:r>
        <w:drawing>
          <wp:inline distT="0" distB="0" distL="114300" distR="114300">
            <wp:extent cx="6117590" cy="767080"/>
            <wp:effectExtent l="0" t="0" r="16510" b="1397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 результаті в обох варіантах вибірки ми отримали оптимальний пошук.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>створення додаткових індексів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40710"/>
    <w:multiLevelType w:val="singleLevel"/>
    <w:tmpl w:val="D1B407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18671B"/>
    <w:multiLevelType w:val="multilevel"/>
    <w:tmpl w:val="501867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2066D6B"/>
    <w:rsid w:val="0B920063"/>
    <w:rsid w:val="0CFC1E07"/>
    <w:rsid w:val="0E342AA7"/>
    <w:rsid w:val="0F69286D"/>
    <w:rsid w:val="113F1342"/>
    <w:rsid w:val="148D03D0"/>
    <w:rsid w:val="15693F73"/>
    <w:rsid w:val="162B6DCA"/>
    <w:rsid w:val="174767D7"/>
    <w:rsid w:val="19870A00"/>
    <w:rsid w:val="1EE37DE5"/>
    <w:rsid w:val="1F452559"/>
    <w:rsid w:val="20EF4E0D"/>
    <w:rsid w:val="22480AA8"/>
    <w:rsid w:val="2398580B"/>
    <w:rsid w:val="25027593"/>
    <w:rsid w:val="2F221E7F"/>
    <w:rsid w:val="307C2405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1A26EE"/>
    <w:rsid w:val="44ED3395"/>
    <w:rsid w:val="453C20BD"/>
    <w:rsid w:val="45720169"/>
    <w:rsid w:val="45C6628D"/>
    <w:rsid w:val="4BD74CA5"/>
    <w:rsid w:val="4E3B0DFD"/>
    <w:rsid w:val="4E460E36"/>
    <w:rsid w:val="51801237"/>
    <w:rsid w:val="53891E88"/>
    <w:rsid w:val="557335BE"/>
    <w:rsid w:val="562F1F9D"/>
    <w:rsid w:val="595C1CD9"/>
    <w:rsid w:val="5D15694A"/>
    <w:rsid w:val="5F860858"/>
    <w:rsid w:val="5FE31E35"/>
    <w:rsid w:val="60CD04E9"/>
    <w:rsid w:val="613133C8"/>
    <w:rsid w:val="642208A6"/>
    <w:rsid w:val="677C651D"/>
    <w:rsid w:val="67D4777D"/>
    <w:rsid w:val="68415085"/>
    <w:rsid w:val="691F54F6"/>
    <w:rsid w:val="699E798A"/>
    <w:rsid w:val="6B966DD6"/>
    <w:rsid w:val="6CE55B1A"/>
    <w:rsid w:val="6F4758B3"/>
    <w:rsid w:val="6FA21B55"/>
    <w:rsid w:val="73E700B2"/>
    <w:rsid w:val="745803FC"/>
    <w:rsid w:val="79DA230D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307</TotalTime>
  <ScaleCrop>false</ScaleCrop>
  <LinksUpToDate>false</LinksUpToDate>
  <CharactersWithSpaces>1846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2020-05-06T14:18:00Z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