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Cahier des charges ISN - Screwed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Interface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départ (choix entre “Jouer”, “Option” (possibilité ou pas d’enlever le son par exemple), puis après “Jouer” -&gt; choix de difficulté de niveau)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pendant le jeux (personnages, environnement, obstacles)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Commande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avancer (&gt;)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 (P)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reculer (&lt;)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sauter (maj)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attaque (espace)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Personnage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action/fonction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intégrer à l’interface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over (musique)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evolution score (obtention certain score = pouvoir/attaque)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Histoire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Genre du jeu (Sci-Fi, fantastique…)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20/01 : Trouver le design pour l’interface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27/01 : Etablir le code pour l’interface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03/02 : Coder l’interface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24/02 : Avoir fini l’interface du jeu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03/03 : Avoir intégrer le personnage au jeu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10/03 : Coder les fonctions du personnage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24/03 : Coder les fonctions du personnage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31/03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21/04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28/04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05/05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12/05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19/05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26/05 :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