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Slika 1 - Opširna </w:t>
                            </w:r>
                            <w:r>
                              <w:rPr>
                                <w:lang w:val="sr-Latn-RS"/>
                              </w:rPr>
                              <w:t>podela</w:t>
                            </w:r>
                            <w:r>
                              <w:rPr/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Slika 1 - Opširna </w:t>
                      </w:r>
                      <w:r>
                        <w:rPr>
                          <w:lang w:val="sr-Latn-RS"/>
                        </w:rPr>
                        <w:t>podela</w:t>
                      </w:r>
                      <w:r>
                        <w:rPr/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</w:p>
    <w:p>
      <w:pPr>
        <w:pStyle w:val="BodyText"/>
        <w:bidi w:val="0"/>
        <w:spacing w:before="0" w:after="14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LibreOffice/7.6.1.2$Windows_X86_64 LibreOffice_project/f5defcebd022c5bc36bbb79be232cb6926d8f674</Application>
  <AppVersion>15.0000</AppVersion>
  <Pages>4</Pages>
  <Words>414</Words>
  <Characters>2431</Characters>
  <CharactersWithSpaces>2812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2023-10-10T10:01:57Z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