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Đorđe Knežević 255/22</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tabs>
              <w:tab w:val="right" w:pos="9026" w:leader="dot"/>
            </w:tabs>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tabs>
              <w:tab w:val="right" w:pos="9026" w:leader="dot"/>
            </w:tabs>
            <w:rPr/>
          </w:pPr>
          <w:hyperlink w:anchor="__RefHeading___Toc2369_1971068212">
            <w:r>
              <w:rPr>
                <w:rStyle w:val="IndexLink"/>
              </w:rPr>
              <w:t>Opis</w:t>
              <w:tab/>
              <w:t>3</w:t>
            </w:r>
          </w:hyperlink>
        </w:p>
        <w:p>
          <w:pPr>
            <w:pStyle w:val="TOC2"/>
            <w:tabs>
              <w:tab w:val="right" w:pos="9026" w:leader="dot"/>
            </w:tabs>
            <w:rPr/>
          </w:pPr>
          <w:hyperlink w:anchor="__RefHeading___Toc2375_1971068212">
            <w:r>
              <w:rPr>
                <w:rStyle w:val="IndexLink"/>
              </w:rPr>
              <w:t>Podela odgovornosti</w:t>
              <w:tab/>
              <w:t>3</w:t>
            </w:r>
          </w:hyperlink>
        </w:p>
        <w:p>
          <w:pPr>
            <w:pStyle w:val="TOC2"/>
            <w:tabs>
              <w:tab w:val="right" w:pos="9026" w:leader="dot"/>
            </w:tabs>
            <w:rPr/>
          </w:pPr>
          <w:hyperlink w:anchor="__RefHeading___Toc2377_1971068212">
            <w:r>
              <w:rPr>
                <w:rStyle w:val="IndexLink"/>
              </w:rPr>
              <w:t>Primeri podele odgovornosti</w:t>
              <w:tab/>
              <w:t>4</w:t>
            </w:r>
          </w:hyperlink>
        </w:p>
        <w:p>
          <w:pPr>
            <w:pStyle w:val="TOC3"/>
            <w:tabs>
              <w:tab w:val="right" w:pos="9026" w:leader="dot"/>
            </w:tabs>
            <w:rPr/>
          </w:pPr>
          <w:hyperlink w:anchor="__RefHeading___Toc2379_1971068212">
            <w:r>
              <w:rPr>
                <w:rStyle w:val="IndexLink"/>
              </w:rPr>
              <w:t>EC 2 (IaaS)</w:t>
              <w:tab/>
              <w:t>4</w:t>
            </w:r>
          </w:hyperlink>
        </w:p>
        <w:p>
          <w:pPr>
            <w:pStyle w:val="TOC3"/>
            <w:tabs>
              <w:tab w:val="right" w:pos="9026" w:leader="dot"/>
            </w:tabs>
            <w:rPr/>
          </w:pPr>
          <w:hyperlink w:anchor="__RefHeading___Toc136_2588892014">
            <w:r>
              <w:rPr>
                <w:rStyle w:val="IndexLink"/>
              </w:rPr>
              <w:t>Elastic Beanstalk (PaaS)</w:t>
              <w:tab/>
              <w:t>4</w:t>
            </w:r>
          </w:hyperlink>
        </w:p>
        <w:p>
          <w:pPr>
            <w:pStyle w:val="TOC3"/>
            <w:tabs>
              <w:tab w:val="right" w:pos="9026" w:leader="dot"/>
            </w:tabs>
            <w:rPr/>
          </w:pPr>
          <w:hyperlink w:anchor="__RefHeading___Toc136_2588892014_Copy_1">
            <w:r>
              <w:rPr>
                <w:rStyle w:val="IndexLink"/>
              </w:rPr>
              <w:t>Workmail (SaaS)</w:t>
              <w:tab/>
              <w:t>4</w:t>
            </w:r>
          </w:hyperlink>
        </w:p>
        <w:p>
          <w:pPr>
            <w:pStyle w:val="TOC1"/>
            <w:tabs>
              <w:tab w:val="right" w:pos="9026" w:leader="dot"/>
            </w:tabs>
            <w:rPr/>
          </w:pPr>
          <w:hyperlink w:anchor="__RefHeading___Toc2367_1971068212_Copy_1">
            <w:r>
              <w:rPr>
                <w:rStyle w:val="IndexLink"/>
              </w:rPr>
              <w:t>AWS SECURITY BEST PRACTICES</w:t>
              <w:tab/>
              <w:t>5</w:t>
            </w:r>
          </w:hyperlink>
        </w:p>
        <w:p>
          <w:pPr>
            <w:pStyle w:val="TOC2"/>
            <w:tabs>
              <w:tab w:val="right" w:pos="9026" w:leader="dot"/>
            </w:tabs>
            <w:rPr/>
          </w:pPr>
          <w:hyperlink w:anchor="__RefHeading___Toc2369_1971068212_Copy_1">
            <w:r>
              <w:rPr>
                <w:rStyle w:val="IndexLink"/>
              </w:rPr>
              <w:t>Opis</w:t>
              <w:tab/>
              <w:t>5</w:t>
            </w:r>
          </w:hyperlink>
        </w:p>
        <w:p>
          <w:pPr>
            <w:pStyle w:val="TOC2"/>
            <w:tabs>
              <w:tab w:val="right" w:pos="9026" w:leader="dot"/>
            </w:tabs>
            <w:rPr/>
          </w:pPr>
          <w:hyperlink w:anchor="__RefHeading___Toc2369_1971068212_Copy_2">
            <w:r>
              <w:rPr>
                <w:rStyle w:val="IndexLink"/>
              </w:rPr>
              <w:t>Korišćenje root naloga</w:t>
              <w:tab/>
              <w:t>5</w:t>
            </w:r>
          </w:hyperlink>
        </w:p>
        <w:p>
          <w:pPr>
            <w:pStyle w:val="TOC2"/>
            <w:tabs>
              <w:tab w:val="right" w:pos="9026" w:leader="dot"/>
            </w:tabs>
            <w:rPr/>
          </w:pPr>
          <w:hyperlink w:anchor="__RefHeading___Toc2369_1971068212_Copy_3">
            <w:r>
              <w:rPr>
                <w:rStyle w:val="IndexLink"/>
              </w:rPr>
              <w:t>Princip najmanjih privilegija</w:t>
              <w:tab/>
              <w:t>5</w:t>
            </w:r>
          </w:hyperlink>
        </w:p>
        <w:p>
          <w:pPr>
            <w:pStyle w:val="TOC2"/>
            <w:tabs>
              <w:tab w:val="right" w:pos="9026" w:leader="dot"/>
            </w:tabs>
            <w:rPr/>
          </w:pPr>
          <w:hyperlink w:anchor="__RefHeading___Toc2369_1971068212_Copy_4">
            <w:r>
              <w:rPr>
                <w:rStyle w:val="IndexLink"/>
              </w:rPr>
              <w:t>Security grupe</w:t>
              <w:tab/>
              <w:t>5</w:t>
            </w:r>
          </w:hyperlink>
        </w:p>
        <w:p>
          <w:pPr>
            <w:pStyle w:val="TOC2"/>
            <w:tabs>
              <w:tab w:val="right" w:pos="9026" w:leader="dot"/>
            </w:tabs>
            <w:rPr/>
          </w:pPr>
          <w:hyperlink w:anchor="__RefHeading___Toc586_790464588">
            <w:r>
              <w:rPr>
                <w:rStyle w:val="IndexLink"/>
              </w:rPr>
              <w:t>NACL</w:t>
              <w:tab/>
              <w:t>6</w:t>
            </w:r>
          </w:hyperlink>
        </w:p>
        <w:p>
          <w:pPr>
            <w:pStyle w:val="TOC1"/>
            <w:tabs>
              <w:tab w:val="right" w:pos="9026" w:leader="dot"/>
            </w:tabs>
            <w:rPr/>
          </w:pPr>
          <w:hyperlink w:anchor="__RefHeading___Toc2367_1971068212_Copy_2">
            <w:r>
              <w:rPr>
                <w:rStyle w:val="IndexLink"/>
              </w:rPr>
              <w:t>DDOS I ZAŠTITA NA CLOUDU</w:t>
              <w:tab/>
              <w:t>7</w:t>
            </w:r>
          </w:hyperlink>
        </w:p>
        <w:p>
          <w:pPr>
            <w:pStyle w:val="TOC2"/>
            <w:tabs>
              <w:tab w:val="right" w:pos="9026" w:leader="dot"/>
            </w:tabs>
            <w:rPr/>
          </w:pPr>
          <w:hyperlink w:anchor="__RefHeading___Toc2369_1971068212_Copy_5">
            <w:r>
              <w:rPr>
                <w:rStyle w:val="IndexLink"/>
              </w:rPr>
              <w:t>Opis</w:t>
              <w:tab/>
              <w:t>7</w:t>
            </w:r>
          </w:hyperlink>
        </w:p>
        <w:p>
          <w:pPr>
            <w:pStyle w:val="TOC2"/>
            <w:tabs>
              <w:tab w:val="right" w:pos="9026" w:leader="dot"/>
            </w:tabs>
            <w:rPr/>
          </w:pPr>
          <w:hyperlink w:anchor="__RefHeading___Toc2369_1971068212_Copy_6">
            <w:r>
              <w:rPr>
                <w:rStyle w:val="IndexLink"/>
              </w:rPr>
              <w:t>DOS</w:t>
              <w:tab/>
              <w:t>7</w:t>
            </w:r>
          </w:hyperlink>
        </w:p>
        <w:p>
          <w:pPr>
            <w:pStyle w:val="TOC2"/>
            <w:tabs>
              <w:tab w:val="right" w:pos="9026" w:leader="dot"/>
            </w:tabs>
            <w:rPr/>
          </w:pPr>
          <w:hyperlink w:anchor="__RefHeading___Toc2369_1971068212_Copy_7">
            <w:r>
              <w:rPr>
                <w:rStyle w:val="IndexLink"/>
              </w:rPr>
              <w:t>DDOS</w:t>
              <w:tab/>
              <w:t>7</w:t>
            </w:r>
          </w:hyperlink>
        </w:p>
        <w:p>
          <w:pPr>
            <w:pStyle w:val="TOC2"/>
            <w:tabs>
              <w:tab w:val="right" w:pos="9026" w:leader="dot"/>
            </w:tabs>
            <w:rPr/>
          </w:pPr>
          <w:hyperlink w:anchor="__RefHeading___Toc2369_1971068212_Copy_6">
            <w:r>
              <w:rPr>
                <w:rStyle w:val="IndexLink"/>
              </w:rPr>
              <w:t>Podela po sloju</w:t>
              <w:tab/>
              <w:t>7</w:t>
            </w:r>
          </w:hyperlink>
        </w:p>
        <w:p>
          <w:pPr>
            <w:pStyle w:val="TOC2"/>
            <w:tabs>
              <w:tab w:val="right" w:pos="9026" w:leader="dot"/>
            </w:tabs>
            <w:rPr/>
          </w:pPr>
          <w:hyperlink w:anchor="__RefHeading___Toc2369_1971068212_Copy_8">
            <w:r>
              <w:rPr>
                <w:rStyle w:val="IndexLink"/>
              </w:rPr>
              <w:t>Napadi na sloj infrastrukture</w:t>
              <w:tab/>
              <w:t>8</w:t>
            </w:r>
          </w:hyperlink>
        </w:p>
        <w:p>
          <w:pPr>
            <w:pStyle w:val="TOC3"/>
            <w:tabs>
              <w:tab w:val="right" w:pos="9026" w:leader="dot"/>
            </w:tabs>
            <w:rPr/>
          </w:pPr>
          <w:hyperlink w:anchor="__RefHeading___Toc2379_1971068212_Copy_1">
            <w:r>
              <w:rPr>
                <w:rStyle w:val="IndexLink"/>
              </w:rPr>
              <w:t>UDP reflekcija</w:t>
              <w:tab/>
              <w:t>8</w:t>
            </w:r>
          </w:hyperlink>
        </w:p>
        <w:p>
          <w:pPr>
            <w:pStyle w:val="TOC3"/>
            <w:tabs>
              <w:tab w:val="right" w:pos="9026" w:leader="dot"/>
            </w:tabs>
            <w:rPr/>
          </w:pPr>
          <w:hyperlink w:anchor="__RefHeading___Toc2379_1971068212_Copy_2">
            <w:r>
              <w:rPr>
                <w:rStyle w:val="IndexLink"/>
              </w:rPr>
              <w:t>SYN poplava</w:t>
              <w:tab/>
              <w:t>8</w:t>
            </w:r>
          </w:hyperlink>
        </w:p>
        <w:p>
          <w:pPr>
            <w:pStyle w:val="TOC1"/>
            <w:tabs>
              <w:tab w:val="right" w:pos="9026" w:leader="dot"/>
            </w:tabs>
            <w:rPr/>
          </w:pPr>
          <w:hyperlink w:anchor="__RefHeading___Toc1383_2526964257">
            <w:r>
              <w:rPr>
                <w:rStyle w:val="IndexLink"/>
              </w:rPr>
              <w:t>SLIKE</w:t>
              <w:tab/>
              <w:t>9</w:t>
            </w:r>
          </w:hyperlink>
        </w:p>
        <w:p>
          <w:pPr>
            <w:pStyle w:val="TOC1"/>
            <w:tabs>
              <w:tab w:val="right" w:pos="9026" w:leader="dot"/>
            </w:tabs>
            <w:rPr/>
          </w:pPr>
          <w:hyperlink w:anchor="__RefHeading___Toc1385_2526964257">
            <w:r>
              <w:rPr>
                <w:rStyle w:val="IndexLink"/>
              </w:rPr>
              <w:t>LITERATURA</w:t>
              <w:tab/>
              <w:t>10</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1"/>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1"/>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1"/>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Podela odgovorosti često zavisi od specifičnog servisa o kome se radi, ali, najosnovije, cloud provider je odgovoran za zaštitu infrastrukture servisa koje nudi, čineći hardware, software, umrežavanje i objekte kod kojih se ovi servisi izvršavaju.</w:t>
      </w:r>
    </w:p>
    <w:p>
      <w:pPr>
        <w:pStyle w:val="BodyText"/>
        <w:bidi w:val="0"/>
        <w:jc w:val="left"/>
        <w:rPr>
          <w:lang w:val="zxx" w:eastAsia="zxx" w:bidi="zxx"/>
        </w:rPr>
      </w:pPr>
      <w:r>
        <w:rPr>
          <w:rFonts w:ascii="Times New Roman" w:hAnsi="Times New Roman"/>
          <w:sz w:val="24"/>
          <w:szCs w:val="24"/>
          <w:lang w:val="zxx" w:eastAsia="zxx" w:bidi="zxx"/>
        </w:rPr>
        <w:t>Odgovornost uveliko zavisi od vrste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p>
    <w:p>
      <w:pPr>
        <w:pStyle w:val="BodyText"/>
        <w:bidi w:val="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w:t>
      </w:r>
    </w:p>
    <w:p>
      <w:pPr>
        <w:pStyle w:val="Heading2"/>
        <w:numPr>
          <w:ilvl w:val="1"/>
          <w:numId w:val="1"/>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1"/>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1"/>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1"/>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1"/>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1"/>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1"/>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1"/>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1"/>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1"/>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w:t>
      </w:r>
      <w:r>
        <w:br w:type="page"/>
      </w:r>
    </w:p>
    <w:p>
      <w:pPr>
        <w:pStyle w:val="Heading1"/>
        <w:numPr>
          <w:ilvl w:val="0"/>
          <w:numId w:val="1"/>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1"/>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1"/>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1"/>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txBox="1"/>
                      <wps:spPr>
                        <a:xfrm>
                          <a:off x="0" y="0"/>
                          <a:ext cx="5731510" cy="3129280"/>
                        </a:xfrm>
                        <a:prstGeom prst="rect"/>
                        <a:solidFill>
                          <a:srgbClr val="FFFFFF"/>
                        </a:solidFill>
                      </wps:spPr>
                      <wps:txbx>
                        <w:txbxContent>
                          <w:p>
                            <w:pPr>
                              <w:pStyle w:val="Caption"/>
                              <w:suppressLineNumbers/>
                              <w:spacing w:before="120" w:after="120"/>
                              <w:rPr/>
                            </w:pPr>
                            <w:r>
                              <w:rPr/>
                              <w:drawing>
                                <wp:inline distT="0" distB="0" distL="0" distR="0">
                                  <wp:extent cx="5731510" cy="28016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t>Slika 2 - Diagram DDOS napada</w:t>
                            </w:r>
                          </w:p>
                        </w:txbxContent>
                      </wps:txbx>
                      <wps:bodyPr anchor="t" lIns="0" tIns="0" rIns="0" bIns="0">
                        <a:noAutofit/>
                      </wps:bodyPr>
                    </wps:wsp>
                  </a:graphicData>
                </a:graphic>
              </wp:anchor>
            </w:drawing>
          </mc:Choice>
          <mc:Fallback>
            <w:pict>
              <v:rect style="position:absolute;rotation:-0;width:451.3pt;height:246.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t>Slika 2 - Diagram DDOS napada</w:t>
                      </w:r>
                    </w:p>
                  </w:txbxContent>
                </v:textbox>
                <w10:wrap type="square" side="largest"/>
              </v:rect>
            </w:pict>
          </mc:Fallback>
        </mc:AlternateContent>
      </w:r>
    </w:p>
    <w:p>
      <w:pPr>
        <w:pStyle w:val="Heading2"/>
        <w:numPr>
          <w:ilvl w:val="1"/>
          <w:numId w:val="1"/>
        </w:numPr>
        <w:bidi w:val="0"/>
        <w:ind w:hanging="0" w:left="0"/>
        <w:jc w:val="left"/>
        <w:rPr>
          <w:lang w:val="zxx" w:eastAsia="zxx" w:bidi="zxx"/>
        </w:rPr>
      </w:pPr>
      <w:bookmarkStart w:id="17" w:name="__RefHeading___Toc2369_1971068212_Copy_6"/>
      <w:bookmarkEnd w:id="17"/>
      <w:r>
        <w:rPr>
          <w:rFonts w:ascii="Times New Roman" w:hAnsi="Times New Roman"/>
          <w:sz w:val="28"/>
          <w:szCs w:val="28"/>
          <w:lang w:val="zxx" w:eastAsia="zxx" w:bidi="zxx"/>
        </w:rPr>
        <w:t>Podela po sloju</w:t>
      </w:r>
      <w: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5" name="Frame3"/>
                <a:graphic xmlns:a="http://schemas.openxmlformats.org/drawingml/2006/main">
                  <a:graphicData uri="http://schemas.microsoft.com/office/word/2010/wordprocessingShape">
                    <wps:wsp>
                      <wps:cNvSpPr txBox="1"/>
                      <wps:spPr>
                        <a:xfrm>
                          <a:off x="0" y="0"/>
                          <a:ext cx="3740785" cy="2545080"/>
                        </a:xfrm>
                        <a:prstGeom prst="rect"/>
                        <a:solidFill>
                          <a:srgbClr val="FFFFFF"/>
                        </a:solidFill>
                      </wps:spPr>
                      <wps:txbx>
                        <w:txbxContent>
                          <w:p>
                            <w:pPr>
                              <w:pStyle w:val="Caption"/>
                              <w:suppressLineNumbers/>
                              <w:spacing w:before="120" w:after="120"/>
                              <w:rPr/>
                            </w:pPr>
                            <w:r>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t>Slika 3 - Slojevi OSI modela</w:t>
                            </w:r>
                          </w:p>
                        </w:txbxContent>
                      </wps:txbx>
                      <wps:bodyPr anchor="t" lIns="0" tIns="0" rIns="0" bIns="0">
                        <a:noAutofit/>
                      </wps:bodyPr>
                    </wps:wsp>
                  </a:graphicData>
                </a:graphic>
              </wp:anchor>
            </w:drawing>
          </mc:Choice>
          <mc:Fallback>
            <w:pict>
              <v:rect style="position:absolute;rotation:-0;width:294.55pt;height:200.4pt;mso-wrap-distance-left:0pt;mso-wrap-distance-right:0pt;mso-wrap-distance-top:0pt;mso-wrap-distance-bottom:0pt;margin-top:9.95pt;mso-position-vertical-relative:text;margin-left:220.7pt;mso-position-horizontal-relative:text">
                <v:textbox inset="0in,0in,0in,0in">
                  <w:txbxContent>
                    <w:p>
                      <w:pPr>
                        <w:pStyle w:val="Caption"/>
                        <w:suppressLineNumbers/>
                        <w:spacing w:before="120" w:after="120"/>
                        <w:rPr/>
                      </w:pPr>
                      <w:r>
                        <w:rPr/>
                        <w:drawing>
                          <wp:inline distT="0" distB="0" distL="0" distR="0">
                            <wp:extent cx="3740785" cy="221742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t>Slika 3 - Slojevi OSI modela</w:t>
                      </w:r>
                    </w:p>
                  </w:txbxContent>
                </v:textbox>
                <w10:wrap type="square" side="largest"/>
              </v:rect>
            </w:pict>
          </mc:Fallback>
        </mc:AlternateConten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ciljaju[10], mi ćemo se baviti napadima na sloju infrastrukture, koji za naše potrebe predstavlja treći i četvrti sloj OSI modela,  i na aplikacionom sloju, koji predstavlja šesti i sedmi sloj OSI modela.</w:t>
      </w:r>
      <w:r>
        <w:br w:type="page"/>
      </w:r>
    </w:p>
    <w:p>
      <w:pPr>
        <w:pStyle w:val="Heading2"/>
        <w:numPr>
          <w:ilvl w:val="1"/>
          <w:numId w:val="1"/>
        </w:numPr>
        <w:bidi w:val="0"/>
        <w:ind w:hanging="0" w:left="0"/>
        <w:jc w:val="left"/>
        <w:rPr>
          <w:lang w:val="zxx" w:eastAsia="zxx" w:bidi="zxx"/>
        </w:rPr>
      </w:pPr>
      <w:bookmarkStart w:id="18" w:name="__RefHeading___Toc2369_1971068212_Copy_8"/>
      <w:bookmarkEnd w:id="18"/>
      <w:r>
        <w:rPr>
          <w:rFonts w:ascii="Times New Roman" w:hAnsi="Times New Roman"/>
          <w:sz w:val="28"/>
          <w:szCs w:val="28"/>
        </w:rPr>
        <w:t xml:space="preserve">Napadi na </w:t>
      </w:r>
      <w:r>
        <w:rPr>
          <w:rFonts w:ascii="Times New Roman" w:hAnsi="Times New Roman"/>
          <w:sz w:val="28"/>
          <w:szCs w:val="28"/>
        </w:rPr>
        <w:t xml:space="preserve">sloj </w:t>
      </w:r>
      <w:r>
        <w:rPr>
          <w:rFonts w:ascii="Times New Roman" w:hAnsi="Times New Roman"/>
          <w:sz w:val="28"/>
          <w:szCs w:val="28"/>
        </w:rPr>
        <w:t>infrastrukture</w:t>
      </w:r>
    </w:p>
    <w:p>
      <w:pPr>
        <w:pStyle w:val="BodyText"/>
        <w:bidi w:val="0"/>
        <w:ind w:hanging="0" w:left="0"/>
        <w:jc w:val="left"/>
        <w:rPr>
          <w:sz w:val="24"/>
          <w:szCs w:val="24"/>
        </w:rPr>
      </w:pPr>
      <w:r>
        <w:rPr>
          <w:sz w:val="24"/>
          <w:szCs w:val="24"/>
        </w:rPr>
        <w:t>Sluj infrastrukture je najčešća meta DDOS napada, ovi napadi generišu velike količine protoka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w:t>
      </w:r>
    </w:p>
    <w:p>
      <w:pPr>
        <w:pStyle w:val="Heading3"/>
        <w:numPr>
          <w:ilvl w:val="2"/>
          <w:numId w:val="1"/>
        </w:numPr>
        <w:bidi w:val="0"/>
        <w:ind w:hanging="0" w:left="0"/>
        <w:jc w:val="left"/>
        <w:rPr>
          <w:lang w:val="zxx" w:eastAsia="zxx" w:bidi="zxx"/>
        </w:rPr>
      </w:pPr>
      <w:bookmarkStart w:id="19" w:name="__RefHeading___Toc2379_1971068212_Copy_1"/>
      <w:bookmarkEnd w:id="19"/>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čuvaju[12].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paketa[12].</w:t>
      </w:r>
    </w:p>
    <w:p>
      <w:pPr>
        <w:pStyle w:val="BodyText"/>
        <w:bidi w:val="0"/>
        <w:ind w:hanging="0" w:left="0"/>
        <w:jc w:val="left"/>
        <w:rPr>
          <w:lang w:val="zxx" w:eastAsia="zxx" w:bidi="zxx"/>
        </w:rPr>
      </w:pPr>
      <w:r>
        <w:rPr>
          <w:rFonts w:ascii="Times New Roman" w:hAnsi="Times New Roman"/>
          <w:lang w:val="zxx" w:eastAsia="zxx" w:bidi="zxx"/>
        </w:rPr>
        <w:t>Falsifikovan paket se šalje od strane napadača posredovaćem serveru, koji onda svoj odgovor šalje meti umesto napadaču, posredovajući server se koristi jer je paket odgovora više puta veći nego paket zahteva, što značajno povećava protok poslat meti[12].</w:t>
      </w:r>
    </w:p>
    <w:p>
      <w:pPr>
        <w:pStyle w:val="BodyText"/>
        <w:bidi w:val="0"/>
        <w:ind w:hanging="0" w:left="0"/>
        <w:jc w:val="left"/>
        <w:rPr>
          <w:rFonts w:ascii="Times New Roman" w:hAnsi="Times New Roman"/>
          <w:sz w:val="24"/>
        </w:rPr>
      </w:pPr>
      <w:r>
        <w:rPr>
          <w:lang w:val="zxx" w:eastAsia="zxx" w:bidi="zxx"/>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027555"/>
                <wp:effectExtent l="0" t="0" r="0" b="0"/>
                <wp:wrapSquare wrapText="largest"/>
                <wp:docPr id="8" name="Frame4"/>
                <a:graphic xmlns:a="http://schemas.openxmlformats.org/drawingml/2006/main">
                  <a:graphicData uri="http://schemas.microsoft.com/office/word/2010/wordprocessingShape">
                    <wps:wsp>
                      <wps:cNvSpPr txBox="1"/>
                      <wps:spPr>
                        <a:xfrm>
                          <a:off x="0" y="0"/>
                          <a:ext cx="5731510" cy="2027555"/>
                        </a:xfrm>
                        <a:prstGeom prst="rect"/>
                        <a:solidFill>
                          <a:srgbClr val="FFFFFF"/>
                        </a:solidFill>
                      </wps:spPr>
                      <wps:txbx>
                        <w:txbxContent>
                          <w:p>
                            <w:pPr>
                              <w:pStyle w:val="Caption"/>
                              <w:suppressLineNumbers/>
                              <w:spacing w:before="120" w:after="120"/>
                              <w:rPr/>
                            </w:pPr>
                            <w:r>
                              <w:rPr/>
                              <w:drawing>
                                <wp:inline distT="0" distB="0" distL="0" distR="0">
                                  <wp:extent cx="5731510" cy="169989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t>Slika 4 - Diagram UDP reflekcije</w:t>
                            </w:r>
                          </w:p>
                        </w:txbxContent>
                      </wps:txbx>
                      <wps:bodyPr anchor="t" lIns="0" tIns="0" rIns="0" bIns="0">
                        <a:noAutofit/>
                      </wps:bodyPr>
                    </wps:wsp>
                  </a:graphicData>
                </a:graphic>
              </wp:anchor>
            </w:drawing>
          </mc:Choice>
          <mc:Fallback>
            <w:pict>
              <v:rect style="position:absolute;rotation:-0;width:451.3pt;height:159.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31510" cy="169989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t>Slika 4 - Diagram UDP reflekcije</w:t>
                      </w:r>
                    </w:p>
                  </w:txbxContent>
                </v:textbox>
                <w10:wrap type="square" side="largest"/>
              </v:rect>
            </w:pict>
          </mc:Fallback>
        </mc:AlternateContent>
      </w:r>
    </w:p>
    <w:p>
      <w:pPr>
        <w:pStyle w:val="Heading3"/>
        <w:numPr>
          <w:ilvl w:val="2"/>
          <w:numId w:val="1"/>
        </w:numPr>
        <w:bidi w:val="0"/>
        <w:ind w:hanging="0" w:left="0"/>
        <w:jc w:val="left"/>
        <w:rPr>
          <w:lang w:val="zxx" w:eastAsia="zxx" w:bidi="zxx"/>
        </w:rPr>
      </w:pPr>
      <w:bookmarkStart w:id="20" w:name="__RefHeading___Toc2379_1971068212_Copy_2"/>
      <w:bookmarkEnd w:id="20"/>
      <w:r>
        <w:rPr>
          <w:rFonts w:ascii="Times New Roman" w:hAnsi="Times New Roman"/>
        </w:rPr>
        <w:t>SYN poplava</w:t>
      </w:r>
    </w:p>
    <w:p>
      <w:pPr>
        <w:pStyle w:val="BodyText"/>
        <w:bidi w:val="0"/>
        <w:ind w:hanging="0" w:left="0"/>
        <w:jc w:val="left"/>
        <w:rPr>
          <w:lang w:val="zxx" w:eastAsia="zxx" w:bidi="zxx"/>
        </w:rPr>
      </w:pPr>
      <w:r>
        <w:rPr/>
      </w:r>
      <w:r>
        <w:br w:type="page"/>
      </w:r>
    </w:p>
    <w:p>
      <w:pPr>
        <w:pStyle w:val="BodyText"/>
        <w:bidi w:val="0"/>
        <w:spacing w:before="0" w:after="140"/>
        <w:jc w:val="left"/>
        <w:rPr>
          <w:lang w:val="zxx" w:eastAsia="zxx" w:bidi="zxx"/>
        </w:rPr>
      </w:pPr>
      <w:r>
        <w:rPr>
          <w:lang w:val="zxx" w:eastAsia="zxx" w:bidi="zxx"/>
        </w:rPr>
      </w:r>
    </w:p>
    <w:p>
      <w:pPr>
        <w:pStyle w:val="Heading1"/>
        <w:numPr>
          <w:ilvl w:val="0"/>
          <w:numId w:val="1"/>
        </w:numPr>
        <w:ind w:hanging="0" w:left="0"/>
        <w:jc w:val="center"/>
        <w:rPr>
          <w:lang w:val="zxx" w:eastAsia="zxx" w:bidi="zxx"/>
        </w:rPr>
      </w:pPr>
      <w:bookmarkStart w:id="21" w:name="__RefHeading___Toc1383_2526964257"/>
      <w:bookmarkEnd w:id="21"/>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hyperlink r:id="rId11">
        <w:r>
          <w:rPr>
            <w:rStyle w:val="Hyperlink"/>
            <w:rFonts w:ascii="Times New Roman" w:hAnsi="Times New Roman"/>
            <w:lang w:val="zxx" w:eastAsia="zxx" w:bidi="zxx"/>
          </w:rPr>
          <w:t>https://docs.aws.amazon.com/whitepapers/latest/aws-best-practices-ddos-resiliency/introduction-denial-of-service-attacks.html</w:t>
        </w:r>
      </w:hyperlink>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hyperlink r:id="rId13">
        <w:r>
          <w:rPr>
            <w:rStyle w:val="Hyperlink"/>
            <w:rFonts w:ascii="Times New Roman" w:hAnsi="Times New Roman"/>
            <w:lang w:val="zxx" w:eastAsia="zxx" w:bidi="zxx"/>
          </w:rPr>
          <w:t>https://www.cloudflare.com/learning/ddos/glossary/open-systems-interconnection-model-osi/</w:t>
        </w:r>
      </w:hyperlink>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4">
        <w:r>
          <w:rPr>
            <w:rStyle w:val="Hyperlink"/>
            <w:rFonts w:ascii="Times New Roman" w:hAnsi="Times New Roman"/>
            <w:lang w:val="zxx" w:eastAsia="zxx" w:bidi="zxx"/>
          </w:rPr>
          <w:t>https://docs.aws.amazon.com/whitepapers/latest/aws-best-practices-ddos-resiliency/udp-reflection-attacks.html</w:t>
        </w:r>
      </w:hyperlink>
      <w:hyperlink r:id="rId15">
        <w:r>
          <w:rPr>
            <w:rFonts w:ascii="Times New Roman" w:hAnsi="Times New Roman"/>
            <w:lang w:val="zxx" w:eastAsia="zxx" w:bidi="zxx"/>
          </w:rPr>
          <w:t xml:space="preserve"> </w:t>
        </w:r>
      </w:hyperlink>
      <w:r>
        <w:br w:type="page"/>
      </w:r>
    </w:p>
    <w:p>
      <w:pPr>
        <w:pStyle w:val="Heading1"/>
        <w:numPr>
          <w:ilvl w:val="0"/>
          <w:numId w:val="1"/>
        </w:numPr>
        <w:spacing w:before="0" w:after="120"/>
        <w:ind w:hanging="0" w:left="0"/>
        <w:jc w:val="center"/>
        <w:rPr>
          <w:lang w:val="zxx" w:eastAsia="zxx" w:bidi="zxx"/>
        </w:rPr>
      </w:pPr>
      <w:bookmarkStart w:id="22" w:name="__RefHeading___Toc1385_2526964257"/>
      <w:bookmarkEnd w:id="22"/>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hyperlink r:id="rId16">
        <w:r>
          <w:rPr>
            <w:rStyle w:val="Hyperlink"/>
            <w:rFonts w:ascii="Times New Roman" w:hAnsi="Times New Roman"/>
            <w:sz w:val="24"/>
            <w:szCs w:val="24"/>
            <w:lang w:val="zxx" w:eastAsia="zxx" w:bidi="zxx"/>
          </w:rPr>
          <w:t>https://aws.amazon.com/compliance/shared-responsibility-model/</w:t>
        </w:r>
      </w:hyperlink>
      <w:r>
        <w:rPr>
          <w:rFonts w:ascii="Times New Roman" w:hAnsi="Times New Roman"/>
          <w:sz w:val="24"/>
          <w:szCs w:val="24"/>
          <w:lang w:val="zxx" w:eastAsia="zxx" w:bidi="zxx"/>
        </w:rPr>
        <w:t>\</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Shared Responsibility Model.</w:t>
      </w:r>
    </w:p>
    <w:p>
      <w:pPr>
        <w:pStyle w:val="BodyText"/>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https://www.crowdstrike.com/cybersecurity-101/cloud-security/shared-responsibility-model/</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https://aws.amazon.com/what-is/hypervisor/</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https://aws.amazon.com/elasticbeanstalk/details/</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https://aws.amazon.com/workmail/</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23" w:name="root-user-best-practices"/>
      <w:bookmarkEnd w:id="23"/>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7">
        <w:r>
          <w:rPr>
            <w:rStyle w:val="Hyperlink"/>
            <w:rFonts w:ascii="Times New Roman" w:hAnsi="Times New Roman"/>
            <w:b w:val="false"/>
            <w:bCs w:val="false"/>
            <w:lang w:val="zxx" w:eastAsia="zxx" w:bidi="zxx"/>
          </w:rPr>
          <w:t>https://docs.aws.amazon.com/IAM/latest/UserGuide/root-user-best-practices.html</w:t>
        </w:r>
      </w:hyperlink>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https://en.wikipedia.org/wiki/Principle_of_least_privilege</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https://docs.aws.amazon.com/vpc/latest/userguide/vpc-security-groups.html</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https://docs.aws.amazon.com/vpc/latest/userguide/vpc-network-acls.html</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hyperlink r:id="rId18">
        <w:r>
          <w:rPr>
            <w:rStyle w:val="Hyperlink"/>
            <w:rFonts w:ascii="Times New Roman" w:hAnsi="Times New Roman"/>
            <w:b w:val="false"/>
            <w:bCs w:val="false"/>
            <w:lang w:val="zxx" w:eastAsia="zxx" w:bidi="zxx"/>
          </w:rPr>
          <w:t>https://docs.aws.amazon.com/whitepapers/latest/aws-best-practices-ddos-resiliency/introduction-denial-of-service-attacks.htm</w:t>
        </w:r>
        <w:hyperlink r:id="rId19">
          <w:r>
            <w:rPr>
              <w:rStyle w:val="Hyperlink"/>
              <w:rFonts w:ascii="Times New Roman" w:hAnsi="Times New Roman"/>
              <w:b w:val="false"/>
              <w:bCs w:val="false"/>
              <w:lang w:val="zxx" w:eastAsia="zxx" w:bidi="zxx"/>
            </w:rPr>
            <w:t>l</w:t>
          </w:r>
        </w:hyperlink>
      </w:hyperlink>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1">
        <w:r>
          <w:rPr>
            <w:rStyle w:val="Hyperlink"/>
            <w:rFonts w:ascii="Times New Roman" w:hAnsi="Times New Roman"/>
            <w:b w:val="false"/>
            <w:bCs w:val="false"/>
            <w:lang w:val="zxx" w:eastAsia="zxx" w:bidi="zxx"/>
          </w:rPr>
          <w:t>https://docs.aws.amazon.com/whitepapers/latest/aws-best-practices-ddos-resiliency/infrastructure-layer-attacks.html</w:t>
        </w:r>
      </w:hyperlink>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24" w:name="udp-reflection-attacks"/>
      <w:bookmarkEnd w:id="24"/>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2">
        <w:r>
          <w:rPr>
            <w:rStyle w:val="Hyperlink"/>
            <w:rFonts w:ascii="Times New Roman" w:hAnsi="Times New Roman"/>
            <w:b w:val="false"/>
            <w:bCs w:val="false"/>
            <w:lang w:val="zxx" w:eastAsia="zxx" w:bidi="zxx"/>
          </w:rPr>
          <w:t>https://docs.aws.amazon.com/whitepapers/latest/aws-best-practices-ddos-resiliency/udp-reflection-attacks.html</w:t>
        </w:r>
      </w:hyperlink>
      <w:hyperlink r:id="rId23">
        <w:r>
          <w:rPr>
            <w:rStyle w:val="Strong"/>
            <w:rFonts w:ascii="Times New Roman" w:hAnsi="Times New Roman"/>
            <w:b w:val="false"/>
            <w:bCs w:val="false"/>
            <w:lang w:val="zxx" w:eastAsia="zxx" w:bidi="zxx"/>
          </w:rPr>
          <w:t xml:space="preserve"> </w:t>
        </w:r>
      </w:hyperlink>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hyperlink" Target="https://docs.aws.amazon.com/whitepapers/latest/aws-best-practices-ddos-resiliency/introduction-denial-of-service-attacks.html" TargetMode="External"/><Relationship Id="rId11" Type="http://schemas.openxmlformats.org/officeDocument/2006/relationships/hyperlink" Target="" TargetMode="External"/><Relationship Id="rId12" Type="http://schemas.openxmlformats.org/officeDocument/2006/relationships/hyperlink" Target="https://www.cloudflare.com/learning/ddos/glossary/open-systems-interconnection-model-osi/" TargetMode="External"/><Relationship Id="rId13" Type="http://schemas.openxmlformats.org/officeDocument/2006/relationships/hyperlink" Target="" TargetMode="External"/><Relationship Id="rId14" Type="http://schemas.openxmlformats.org/officeDocument/2006/relationships/hyperlink" Target="https://docs.aws.amazon.com/whitepapers/latest/aws-best-practices-ddos-resiliency/udp-reflection-attacks.html" TargetMode="External"/><Relationship Id="rId15" Type="http://schemas.openxmlformats.org/officeDocument/2006/relationships/hyperlink" Target="" TargetMode="External"/><Relationship Id="rId16" Type="http://schemas.openxmlformats.org/officeDocument/2006/relationships/hyperlink" Target="https://aws.amazon.com/compliance/shared-responsibility-model/" TargetMode="External"/><Relationship Id="rId17" Type="http://schemas.openxmlformats.org/officeDocument/2006/relationships/hyperlink" Target="https://docs.aws.amazon.com/IAM/latest/UserGuide/root-user-best-practices.html" TargetMode="External"/><Relationship Id="rId18" Type="http://schemas.openxmlformats.org/officeDocument/2006/relationships/hyperlink" Target="https://docs.aws.amazon.com/whitepapers/latest/aws-best-practices-ddos-resiliency/introduction-denial-of-service-attacks.html" TargetMode="External"/><Relationship Id="rId19" Type="http://schemas.openxmlformats.org/officeDocument/2006/relationships/hyperlink" Target="" TargetMode="External"/><Relationship Id="rId20" Type="http://schemas.openxmlformats.org/officeDocument/2006/relationships/hyperlink" Target="https://docs.aws.amazon.com/whitepapers/latest/aws-best-practices-ddos-resiliency/infrastructure-layer-attacks.html" TargetMode="External"/><Relationship Id="rId21" Type="http://schemas.openxmlformats.org/officeDocument/2006/relationships/hyperlink" Target="" TargetMode="External"/><Relationship Id="rId22" Type="http://schemas.openxmlformats.org/officeDocument/2006/relationships/hyperlink" Target="https://docs.aws.amazon.com/whitepapers/latest/aws-best-practices-ddos-resiliency/udp-reflection-attacks.html" TargetMode="External"/><Relationship Id="rId23" Type="http://schemas.openxmlformats.org/officeDocument/2006/relationships/hyperlink" Target=""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302</TotalTime>
  <Application>LibreOffice/7.6.2.1$Linux_X86_64 LibreOffice_project/60$Build-1</Application>
  <AppVersion>15.0000</AppVersion>
  <Pages>10</Pages>
  <Words>1469</Words>
  <Characters>9478</Characters>
  <CharactersWithSpaces>10835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2023-11-26T10:18:25Z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