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8" w:name="X8304a26861f2ac53cd541ce8342f7b6dc68da7f"/>
    <w:p>
      <w:pPr>
        <w:pStyle w:val="Heading1"/>
      </w:pPr>
      <w:r>
        <w:t xml:space="preserve">Selective Physics-Informed Neural Operators for Safe Biomedical Simulation</w:t>
      </w:r>
    </w:p>
    <w:bookmarkStart w:id="20" w:name="abstract"/>
    <w:p>
      <w:pPr>
        <w:pStyle w:val="Heading2"/>
      </w:pPr>
      <w:r>
        <w:t xml:space="preserve">Abstract</w:t>
      </w:r>
    </w:p>
    <w:p>
      <w:pPr>
        <w:pStyle w:val="FirstParagraph"/>
      </w:pPr>
      <w:r>
        <w:t xml:space="preserve">Biomedical digital twins and physics-based simulators are increasingly used to support diagnosis, treatment planning, and mechanistic understanding. Yet their deployment remains constrained by a fundamental reliability problem: even when a learned surrogate is accurate on average, its errors are often concentrated in clinically critical regimes such as unstable dynamics, out-of-distribution geometries, rare parameter combinations, and long temporal roll-outs. In these settings, returning a prediction for every input is undesirable. We propose</w:t>
      </w:r>
      <w:r>
        <w:t xml:space="preserve"> </w:t>
      </w:r>
      <w:r>
        <w:rPr>
          <w:b/>
          <w:bCs/>
        </w:rPr>
        <w:t xml:space="preserve">Selective Physics-Informed Neural Operators (SPINO)</w:t>
      </w:r>
      <w:r>
        <w:t xml:space="preserve">, a framework for</w:t>
      </w:r>
      <w:r>
        <w:t xml:space="preserve"> </w:t>
      </w:r>
      <w:r>
        <w:rPr>
          <w:b/>
          <w:bCs/>
        </w:rPr>
        <w:t xml:space="preserve">learning when to predict and when to defer</w:t>
      </w:r>
      <w:r>
        <w:t xml:space="preserve"> </w:t>
      </w:r>
      <w:r>
        <w:t xml:space="preserve">in biomedical operator learning. SPINO combines a physics-informed neural operator backbone with a rejection policy that uses joint evidence from predictive uncertainty, physics residuals, rollout instability, and shift-sensitive embeddings to identify unreliable regions of the input or output domain. The framework supports both</w:t>
      </w:r>
      <w:r>
        <w:t xml:space="preserve"> </w:t>
      </w:r>
      <w:r>
        <w:rPr>
          <w:b/>
          <w:bCs/>
        </w:rPr>
        <w:t xml:space="preserve">global defer</w:t>
      </w:r>
      <w:r>
        <w:t xml:space="preserve"> </w:t>
      </w:r>
      <w:r>
        <w:t xml:space="preserve">(reject the whole case) and</w:t>
      </w:r>
      <w:r>
        <w:t xml:space="preserve"> </w:t>
      </w:r>
      <w:r>
        <w:rPr>
          <w:b/>
          <w:bCs/>
        </w:rPr>
        <w:t xml:space="preserve">localized defer</w:t>
      </w:r>
      <w:r>
        <w:t xml:space="preserve"> </w:t>
      </w:r>
      <w:r>
        <w:t xml:space="preserve">(reject only unsafe spatiotemporal regions), enabling hybrid pipelines in which accepted regions are handled by the fast surrogate while rejected regions are passed to a trusted numerical solver or refinement module. We formalize selective risk for operator-valued prediction, define localized coverage and accepted-risk objectives, and present a training procedure that optimizes simulation accuracy jointly with selective reliability. We further outline a residual-aware risk bound showing that accepted predictions can be controlled by a combination of approximation error, residual magnitude, and rejector threshold. For cardiac electrophysiology as a primary case study, SPINO targets reliable prediction of voltage dynamics under anatomical, parametric, and scenario shift. The central hypothesis is that selective, physics-aware simulation yields a better accuracy-compute-safety trade-off than always predicting or always deferring, thereby improving the deployability of biomedical scientific machine learning systems.</w:t>
      </w:r>
    </w:p>
    <w:p>
      <w:r>
        <w:pict>
          <v:rect style="width:0;height:1.5pt" o:hralign="center" o:hrstd="t" o:hr="t"/>
        </w:pict>
      </w:r>
    </w:p>
    <w:bookmarkEnd w:id="20"/>
    <w:bookmarkStart w:id="26" w:name="introduction"/>
    <w:p>
      <w:pPr>
        <w:pStyle w:val="Heading2"/>
      </w:pPr>
      <w:r>
        <w:t xml:space="preserve">1. Introduction</w:t>
      </w:r>
    </w:p>
    <w:bookmarkStart w:id="21" w:name="motivation"/>
    <w:p>
      <w:pPr>
        <w:pStyle w:val="Heading3"/>
      </w:pPr>
      <w:r>
        <w:t xml:space="preserve">1.1 Motivation</w:t>
      </w:r>
    </w:p>
    <w:p>
      <w:pPr>
        <w:pStyle w:val="FirstParagraph"/>
      </w:pPr>
      <w:r>
        <w:t xml:space="preserve">Physics-based modeling is central to modern computational biomedicine. Cardiac electrophysiology, blood flow, tumor growth, tissue diffusion, and reaction-diffusion systems are commonly modeled through partial differential equations (PDEs) and related mechanistic systems. These models provide interpretability and physical grounding, but they are often computationally expensive, sensitive to discretization, and difficult to deploy in latency-constrained clinical settings.</w:t>
      </w:r>
    </w:p>
    <w:p>
      <w:pPr>
        <w:pStyle w:val="BodyText"/>
      </w:pPr>
      <w:r>
        <w:t xml:space="preserve">Recent advances in scientific machine learning, especially neural operators and physics-informed neural networks, have made it possible to approximate families of PDE solutions with substantial gains in inference speed. In biomedical simulation, this opens the door to real-time digital twins and online decision support. However, a central deployment problem remains unresolved:</w:t>
      </w:r>
      <w:r>
        <w:t xml:space="preserve"> </w:t>
      </w:r>
      <w:r>
        <w:rPr>
          <w:b/>
          <w:bCs/>
        </w:rPr>
        <w:t xml:space="preserve">a fast surrogate may still be unsafe to trust everywhere</w:t>
      </w:r>
      <w:r>
        <w:t xml:space="preserve">.</w:t>
      </w:r>
    </w:p>
    <w:p>
      <w:pPr>
        <w:pStyle w:val="BodyText"/>
      </w:pPr>
      <w:r>
        <w:t xml:space="preserve">Average-case performance is insufficient in high-stakes biomedical settings. In practice, errors matter most under exactly those regimes where learned surrogates are least reliable: long-horizon roll-outs, anatomical shift, rare physiological parameters, unstable wavefront interactions, sparse or noisy observations, and geometries unlike those seen in training. A surrogate that always outputs a prediction, even when it is likely wrong, is not aligned with the requirements of safety-critical biomedical deployment.</w:t>
      </w:r>
    </w:p>
    <w:bookmarkEnd w:id="21"/>
    <w:bookmarkStart w:id="22" w:name="key-observation"/>
    <w:p>
      <w:pPr>
        <w:pStyle w:val="Heading3"/>
      </w:pPr>
      <w:r>
        <w:t xml:space="preserve">1.2 Key observation</w:t>
      </w:r>
    </w:p>
    <w:p>
      <w:pPr>
        <w:pStyle w:val="FirstParagraph"/>
      </w:pPr>
      <w:r>
        <w:t xml:space="preserve">A major advantage of scientific ML over generic prediction is that failure can often be diagnosed not only from data-driven uncertainty, but also from</w:t>
      </w:r>
      <w:r>
        <w:t xml:space="preserve"> </w:t>
      </w:r>
      <w:r>
        <w:rPr>
          <w:b/>
          <w:bCs/>
        </w:rPr>
        <w:t xml:space="preserve">physical inconsistency</w:t>
      </w:r>
      <w:r>
        <w:t xml:space="preserve">. A biomedical PDE surrogate can be unreliable because:</w:t>
      </w:r>
      <w:r>
        <w:t xml:space="preserve"> </w:t>
      </w:r>
      <w:r>
        <w:t xml:space="preserve">- its output violates the governing equations,</w:t>
      </w:r>
      <w:r>
        <w:t xml:space="preserve"> </w:t>
      </w:r>
      <w:r>
        <w:t xml:space="preserve">- it drifts under rollout,</w:t>
      </w:r>
      <w:r>
        <w:t xml:space="preserve"> </w:t>
      </w:r>
      <w:r>
        <w:t xml:space="preserve">- it violates boundary conditions,</w:t>
      </w:r>
      <w:r>
        <w:t xml:space="preserve"> </w:t>
      </w:r>
      <w:r>
        <w:t xml:space="preserve">- it extrapolates to unseen geometry or physiology,</w:t>
      </w:r>
      <w:r>
        <w:t xml:space="preserve"> </w:t>
      </w:r>
      <w:r>
        <w:t xml:space="preserve">- or its internal uncertainty is inconsistent with the predicted dynamics.</w:t>
      </w:r>
    </w:p>
    <w:p>
      <w:pPr>
        <w:pStyle w:val="BodyText"/>
      </w:pPr>
      <w:r>
        <w:t xml:space="preserve">This suggests that reliable deployment should not be formulated as unconditional prediction, but as</w:t>
      </w:r>
      <w:r>
        <w:t xml:space="preserve"> </w:t>
      </w:r>
      <w:r>
        <w:rPr>
          <w:b/>
          <w:bCs/>
        </w:rPr>
        <w:t xml:space="preserve">selective simulation</w:t>
      </w:r>
      <w:r>
        <w:t xml:space="preserve">: the model should make predictions only where it has sufficient evidence that its output is trustworthy, and otherwise abstain or defer to a more reliable fallback such as a numerical solver, a higher-fidelity surrogate, or a clinician-in-the-loop workflow.</w:t>
      </w:r>
    </w:p>
    <w:bookmarkEnd w:id="22"/>
    <w:bookmarkStart w:id="23" w:name="our-proposal"/>
    <w:p>
      <w:pPr>
        <w:pStyle w:val="Heading3"/>
      </w:pPr>
      <w:r>
        <w:t xml:space="preserve">1.3 Our proposal</w:t>
      </w:r>
    </w:p>
    <w:p>
      <w:pPr>
        <w:pStyle w:val="FirstParagraph"/>
      </w:pPr>
      <w:r>
        <w:t xml:space="preserve">We propose</w:t>
      </w:r>
      <w:r>
        <w:t xml:space="preserve"> </w:t>
      </w:r>
      <w:r>
        <w:rPr>
          <w:b/>
          <w:bCs/>
        </w:rPr>
        <w:t xml:space="preserve">Selective Physics-Informed Neural Operators (SPINO)</w:t>
      </w:r>
      <w:r>
        <w:t xml:space="preserve">, a framework that integrates:</w:t>
      </w:r>
      <w:r>
        <w:t xml:space="preserve"> </w:t>
      </w:r>
      <w:r>
        <w:t xml:space="preserve">1. a</w:t>
      </w:r>
      <w:r>
        <w:t xml:space="preserve"> </w:t>
      </w:r>
      <w:r>
        <w:rPr>
          <w:b/>
          <w:bCs/>
        </w:rPr>
        <w:t xml:space="preserve">physics-informed neural operator</w:t>
      </w:r>
      <w:r>
        <w:t xml:space="preserve"> </w:t>
      </w:r>
      <w:r>
        <w:t xml:space="preserve">for fast surrogate simulation,</w:t>
      </w:r>
      <w:r>
        <w:t xml:space="preserve"> </w:t>
      </w:r>
      <w:r>
        <w:t xml:space="preserve">2. a</w:t>
      </w:r>
      <w:r>
        <w:t xml:space="preserve"> </w:t>
      </w:r>
      <w:r>
        <w:rPr>
          <w:b/>
          <w:bCs/>
        </w:rPr>
        <w:t xml:space="preserve">rejector</w:t>
      </w:r>
      <w:r>
        <w:t xml:space="preserve"> </w:t>
      </w:r>
      <w:r>
        <w:t xml:space="preserve">that estimates when surrogate predictions are unsafe,</w:t>
      </w:r>
      <w:r>
        <w:t xml:space="preserve"> </w:t>
      </w:r>
      <w:r>
        <w:t xml:space="preserve">3. and a</w:t>
      </w:r>
      <w:r>
        <w:t xml:space="preserve"> </w:t>
      </w:r>
      <w:r>
        <w:rPr>
          <w:b/>
          <w:bCs/>
        </w:rPr>
        <w:t xml:space="preserve">defer mechanism</w:t>
      </w:r>
      <w:r>
        <w:t xml:space="preserve"> </w:t>
      </w:r>
      <w:r>
        <w:t xml:space="preserve">that routes rejected cases or regions to a trusted fallback.</w:t>
      </w:r>
    </w:p>
    <w:p>
      <w:pPr>
        <w:pStyle w:val="BodyText"/>
      </w:pPr>
      <w:r>
        <w:t xml:space="preserve">The core innovation is that rejection is</w:t>
      </w:r>
      <w:r>
        <w:t xml:space="preserve"> </w:t>
      </w:r>
      <w:r>
        <w:rPr>
          <w:b/>
          <w:bCs/>
        </w:rPr>
        <w:t xml:space="preserve">physics-aware</w:t>
      </w:r>
      <w:r>
        <w:t xml:space="preserve"> </w:t>
      </w:r>
      <w:r>
        <w:t xml:space="preserve">and can be either:</w:t>
      </w:r>
      <w:r>
        <w:t xml:space="preserve"> </w:t>
      </w:r>
      <w:r>
        <w:t xml:space="preserve">-</w:t>
      </w:r>
      <w:r>
        <w:t xml:space="preserve"> </w:t>
      </w:r>
      <w:r>
        <w:rPr>
          <w:b/>
          <w:bCs/>
        </w:rPr>
        <w:t xml:space="preserve">global</w:t>
      </w:r>
      <w:r>
        <w:t xml:space="preserve">, where the entire simulation is deferred, or</w:t>
      </w:r>
      <w:r>
        <w:t xml:space="preserve"> </w:t>
      </w:r>
      <w:r>
        <w:t xml:space="preserve">-</w:t>
      </w:r>
      <w:r>
        <w:t xml:space="preserve"> </w:t>
      </w:r>
      <w:r>
        <w:rPr>
          <w:b/>
          <w:bCs/>
        </w:rPr>
        <w:t xml:space="preserve">localized</w:t>
      </w:r>
      <w:r>
        <w:t xml:space="preserve">, where only unsafe spatial or spatiotemporal regions are deferred.</w:t>
      </w:r>
    </w:p>
    <w:p>
      <w:pPr>
        <w:pStyle w:val="BodyText"/>
      </w:pPr>
      <w:r>
        <w:t xml:space="preserve">Localized rejection is especially natural in biomedical PDE settings. For example, a cardiac electrophysiology model may be reliable over most of the tissue but unreliable near the spiral core, conduction block, sharp boundary transitions, or unstable fibrillatory regions. Rather than rejecting the whole simulation, SPINO can selectively trust the surrogate where it is reliable and invoke refinement only where necessary.</w:t>
      </w:r>
    </w:p>
    <w:bookmarkEnd w:id="23"/>
    <w:bookmarkStart w:id="24" w:name="problem-significance"/>
    <w:p>
      <w:pPr>
        <w:pStyle w:val="Heading3"/>
      </w:pPr>
      <w:r>
        <w:t xml:space="preserve">1.4 Problem significance</w:t>
      </w:r>
    </w:p>
    <w:p>
      <w:pPr>
        <w:pStyle w:val="FirstParagraph"/>
      </w:pPr>
      <w:r>
        <w:t xml:space="preserve">This formulation is important for three reasons.</w:t>
      </w:r>
    </w:p>
    <w:p>
      <w:pPr>
        <w:pStyle w:val="BodyText"/>
      </w:pPr>
      <w:r>
        <w:t xml:space="preserve">First, it moves biomedical scientific ML from</w:t>
      </w:r>
      <w:r>
        <w:t xml:space="preserve"> </w:t>
      </w:r>
      <w:r>
        <w:rPr>
          <w:b/>
          <w:bCs/>
        </w:rPr>
        <w:t xml:space="preserve">accuracy-centric evaluation</w:t>
      </w:r>
      <w:r>
        <w:t xml:space="preserve"> </w:t>
      </w:r>
      <w:r>
        <w:t xml:space="preserve">to</w:t>
      </w:r>
      <w:r>
        <w:t xml:space="preserve"> </w:t>
      </w:r>
      <w:r>
        <w:rPr>
          <w:b/>
          <w:bCs/>
        </w:rPr>
        <w:t xml:space="preserve">deployment-centric evaluation</w:t>
      </w:r>
      <w:r>
        <w:t xml:space="preserve">, where reliability, fallback behavior, and compute-aware safety matter.</w:t>
      </w:r>
    </w:p>
    <w:p>
      <w:pPr>
        <w:pStyle w:val="BodyText"/>
      </w:pPr>
      <w:r>
        <w:t xml:space="preserve">Second, it turns physical structure into a supervisory signal for</w:t>
      </w:r>
      <w:r>
        <w:t xml:space="preserve"> </w:t>
      </w:r>
      <w:r>
        <w:rPr>
          <w:b/>
          <w:bCs/>
        </w:rPr>
        <w:t xml:space="preserve">selective prediction</w:t>
      </w:r>
      <w:r>
        <w:t xml:space="preserve">, rather than using uncertainty alone.</w:t>
      </w:r>
    </w:p>
    <w:p>
      <w:pPr>
        <w:pStyle w:val="BodyText"/>
      </w:pPr>
      <w:r>
        <w:t xml:space="preserve">Third, it enables a practical compute-risk trade-off: by rejecting only difficult regions or difficult cases, one can preserve most of the speed advantages of operator learning while mitigating catastrophic errors in the most clinically sensitive regimes.</w:t>
      </w:r>
    </w:p>
    <w:bookmarkEnd w:id="24"/>
    <w:bookmarkStart w:id="25" w:name="contributions"/>
    <w:p>
      <w:pPr>
        <w:pStyle w:val="Heading3"/>
      </w:pPr>
      <w:r>
        <w:t xml:space="preserve">1.5 Contributions</w:t>
      </w:r>
    </w:p>
    <w:p>
      <w:pPr>
        <w:pStyle w:val="FirstParagraph"/>
      </w:pPr>
      <w:r>
        <w:t xml:space="preserve">We present the following contributions.</w:t>
      </w:r>
    </w:p>
    <w:p>
      <w:pPr>
        <w:pStyle w:val="Compact"/>
        <w:numPr>
          <w:ilvl w:val="0"/>
          <w:numId w:val="1001"/>
        </w:numPr>
      </w:pPr>
      <w:r>
        <w:rPr>
          <w:b/>
          <w:bCs/>
        </w:rPr>
        <w:t xml:space="preserve">Problem formulation.</w:t>
      </w:r>
      <w:r>
        <w:t xml:space="preserve"> </w:t>
      </w:r>
      <w:r>
        <w:t xml:space="preserve">We introduce selective operator learning for biomedical PDE simulation and define selective risk, selective coverage, and localized coverage for operator-valued outputs.</w:t>
      </w:r>
    </w:p>
    <w:p>
      <w:pPr>
        <w:pStyle w:val="Compact"/>
        <w:numPr>
          <w:ilvl w:val="0"/>
          <w:numId w:val="1001"/>
        </w:numPr>
      </w:pPr>
      <w:r>
        <w:rPr>
          <w:b/>
          <w:bCs/>
        </w:rPr>
        <w:t xml:space="preserve">Method.</w:t>
      </w:r>
      <w:r>
        <w:t xml:space="preserve"> </w:t>
      </w:r>
      <w:r>
        <w:t xml:space="preserve">We propose SPINO, a framework combining a physics-informed neural operator with a physics-aware rejector using uncertainty, PDE residual, boundary violation, rollout drift, and shift-sensitive features.</w:t>
      </w:r>
    </w:p>
    <w:p>
      <w:pPr>
        <w:pStyle w:val="Compact"/>
        <w:numPr>
          <w:ilvl w:val="0"/>
          <w:numId w:val="1001"/>
        </w:numPr>
      </w:pPr>
      <w:r>
        <w:rPr>
          <w:b/>
          <w:bCs/>
        </w:rPr>
        <w:t xml:space="preserve">Localized defer.</w:t>
      </w:r>
      <w:r>
        <w:t xml:space="preserve"> </w:t>
      </w:r>
      <w:r>
        <w:t xml:space="preserve">We formulate regional spatiotemporal rejection, allowing partial trust in the surrogate and selective fallback only where necessary.</w:t>
      </w:r>
    </w:p>
    <w:p>
      <w:pPr>
        <w:pStyle w:val="Compact"/>
        <w:numPr>
          <w:ilvl w:val="0"/>
          <w:numId w:val="1001"/>
        </w:numPr>
      </w:pPr>
      <w:r>
        <w:rPr>
          <w:b/>
          <w:bCs/>
        </w:rPr>
        <w:t xml:space="preserve">Theory.</w:t>
      </w:r>
      <w:r>
        <w:t xml:space="preserve"> </w:t>
      </w:r>
      <w:r>
        <w:t xml:space="preserve">We provide a theorem template showing that accepted-region error can be bounded by approximation error and physics inconsistency under a thresholded reject policy.</w:t>
      </w:r>
    </w:p>
    <w:p>
      <w:pPr>
        <w:pStyle w:val="Compact"/>
        <w:numPr>
          <w:ilvl w:val="0"/>
          <w:numId w:val="1001"/>
        </w:numPr>
      </w:pPr>
      <w:r>
        <w:rPr>
          <w:b/>
          <w:bCs/>
        </w:rPr>
        <w:t xml:space="preserve">Evaluation protocol.</w:t>
      </w:r>
      <w:r>
        <w:t xml:space="preserve"> </w:t>
      </w:r>
      <w:r>
        <w:t xml:space="preserve">We design a rigorous benchmark for cardiac electrophysiology under in-distribution testing, long-horizon rollout, resolution transfer, anatomical shift, physiological parameter shift, and scenario shift.</w:t>
      </w:r>
    </w:p>
    <w:p>
      <w:pPr>
        <w:pStyle w:val="Compact"/>
        <w:numPr>
          <w:ilvl w:val="0"/>
          <w:numId w:val="1001"/>
        </w:numPr>
      </w:pPr>
      <w:r>
        <w:rPr>
          <w:b/>
          <w:bCs/>
        </w:rPr>
        <w:t xml:space="preserve">Practical impact.</w:t>
      </w:r>
      <w:r>
        <w:t xml:space="preserve"> </w:t>
      </w:r>
      <w:r>
        <w:t xml:space="preserve">We target a clinically relevant objective: safe speedups for biomedical digital twins, where the system predicts fast on easy regions and defers on hard regions.</w:t>
      </w:r>
    </w:p>
    <w:p>
      <w:r>
        <w:pict>
          <v:rect style="width:0;height:1.5pt" o:hralign="center" o:hrstd="t" o:hr="t"/>
        </w:pict>
      </w:r>
    </w:p>
    <w:bookmarkEnd w:id="25"/>
    <w:bookmarkEnd w:id="26"/>
    <w:bookmarkStart w:id="32" w:name="related-work"/>
    <w:p>
      <w:pPr>
        <w:pStyle w:val="Heading2"/>
      </w:pPr>
      <w:r>
        <w:t xml:space="preserve">2. Related Work</w:t>
      </w:r>
    </w:p>
    <w:bookmarkStart w:id="27" w:name="physics-informed-learning-in-biomedicine"/>
    <w:p>
      <w:pPr>
        <w:pStyle w:val="Heading3"/>
      </w:pPr>
      <w:r>
        <w:t xml:space="preserve">2.1 Physics-informed learning in biomedicine</w:t>
      </w:r>
    </w:p>
    <w:p>
      <w:pPr>
        <w:pStyle w:val="FirstParagraph"/>
      </w:pPr>
      <w:r>
        <w:t xml:space="preserve">Physics-informed neural networks and operator-learning approaches have increasingly been applied to biomedical dynamical systems, especially cardiac electrophysiology, blood flow, and tissue mechanics. Their value lies in combining mechanistic priors with efficient approximation, but the dominant focus has been predictive accuracy, inverse problems, or computational efficiency rather than selective trustworthiness.</w:t>
      </w:r>
    </w:p>
    <w:bookmarkEnd w:id="27"/>
    <w:bookmarkStart w:id="28" w:name="X43e42d75949a685ecb2280008817e0849b4eb6b"/>
    <w:p>
      <w:pPr>
        <w:pStyle w:val="Heading3"/>
      </w:pPr>
      <w:r>
        <w:t xml:space="preserve">2.2 Neural operators and physics-informed neural operators</w:t>
      </w:r>
    </w:p>
    <w:p>
      <w:pPr>
        <w:pStyle w:val="FirstParagraph"/>
      </w:pPr>
      <w:r>
        <w:t xml:space="preserve">Neural operators learn mappings between function spaces and therefore are well suited to PDE families with varying inputs, parameters, and discretizations. Physics-informed neural operators incorporate PDE residuals into training, improving physical consistency and generalization. Yet the standard output is still unconditional: for every input, the model returns a solution. This does not address whether the returned solution should be trusted.</w:t>
      </w:r>
    </w:p>
    <w:bookmarkEnd w:id="28"/>
    <w:bookmarkStart w:id="29" w:name="Xd688a08f3afd3e1e38604ac6fe0f68916f403c8"/>
    <w:p>
      <w:pPr>
        <w:pStyle w:val="Heading3"/>
      </w:pPr>
      <w:r>
        <w:t xml:space="preserve">2.3 Selective prediction, abstention, and learning to defer</w:t>
      </w:r>
    </w:p>
    <w:p>
      <w:pPr>
        <w:pStyle w:val="FirstParagraph"/>
      </w:pPr>
      <w:r>
        <w:t xml:space="preserve">Selective prediction and learning-to-reject study how predictors can abstain when uncertain, typically to improve accuracy on accepted examples or to hand hard examples to a stronger expert. Closely related work studies learning to defer to humans or external systems. However, this literature is primarily instance-based and classification-centric. Extending it to operator learning introduces new issues: outputs are functions, errors are spatially structured, risk accumulates over time, and local reliability may differ within the same sample.</w:t>
      </w:r>
    </w:p>
    <w:bookmarkEnd w:id="29"/>
    <w:bookmarkStart w:id="30" w:name="X0dc283f1cedc57ae5da7c5ad1679b7ce55d8f0b"/>
    <w:p>
      <w:pPr>
        <w:pStyle w:val="Heading3"/>
      </w:pPr>
      <w:r>
        <w:t xml:space="preserve">2.4 Scientific ML reliability and uncertainty</w:t>
      </w:r>
    </w:p>
    <w:p>
      <w:pPr>
        <w:pStyle w:val="FirstParagraph"/>
      </w:pPr>
      <w:r>
        <w:t xml:space="preserve">Uncertainty estimation, OOD detection, and calibration have been studied for scientific ML, but often separately from physical residuals and from explicit defer decisions. In biomedical simulation, local physics violations and long-horizon instability are particularly informative. Our view is that abstention should be based on</w:t>
      </w:r>
      <w:r>
        <w:t xml:space="preserve"> </w:t>
      </w:r>
      <w:r>
        <w:rPr>
          <w:b/>
          <w:bCs/>
        </w:rPr>
        <w:t xml:space="preserve">joint evidence</w:t>
      </w:r>
      <w:r>
        <w:t xml:space="preserve"> </w:t>
      </w:r>
      <w:r>
        <w:t xml:space="preserve">from both epistemic uncertainty and physical inconsistency.</w:t>
      </w:r>
    </w:p>
    <w:bookmarkEnd w:id="30"/>
    <w:bookmarkStart w:id="31" w:name="positioning-of-this-work"/>
    <w:p>
      <w:pPr>
        <w:pStyle w:val="Heading3"/>
      </w:pPr>
      <w:r>
        <w:t xml:space="preserve">2.5 Positioning of this work</w:t>
      </w:r>
    </w:p>
    <w:p>
      <w:pPr>
        <w:pStyle w:val="FirstParagraph"/>
      </w:pPr>
      <w:r>
        <w:t xml:space="preserve">Our work sits at the intersection of operator learning, physics-informed modeling, and selective prediction. The closest conceptual gap is that current biomedical PINO/PINN systems answer the question</w:t>
      </w:r>
      <w:r>
        <w:t xml:space="preserve"> </w:t>
      </w:r>
      <w:r>
        <w:rPr>
          <w:b/>
          <w:bCs/>
        </w:rPr>
        <w:t xml:space="preserve">how to predict faster</w:t>
      </w:r>
      <w:r>
        <w:t xml:space="preserve">, while our work asks</w:t>
      </w:r>
      <w:r>
        <w:t xml:space="preserve"> </w:t>
      </w:r>
      <w:r>
        <w:rPr>
          <w:b/>
          <w:bCs/>
        </w:rPr>
        <w:t xml:space="preserve">when to trust the fast prediction and when to defer</w:t>
      </w:r>
      <w:r>
        <w:t xml:space="preserve">. That shift in question is the core novelty.</w:t>
      </w:r>
    </w:p>
    <w:p>
      <w:r>
        <w:pict>
          <v:rect style="width:0;height:1.5pt" o:hralign="center" o:hrstd="t" o:hr="t"/>
        </w:pict>
      </w:r>
    </w:p>
    <w:bookmarkEnd w:id="31"/>
    <w:bookmarkEnd w:id="32"/>
    <w:bookmarkStart w:id="38" w:name="problem-setup"/>
    <w:p>
      <w:pPr>
        <w:pStyle w:val="Heading2"/>
      </w:pPr>
      <w:r>
        <w:t xml:space="preserve">3. Problem Setup</w:t>
      </w:r>
    </w:p>
    <w:bookmarkStart w:id="33" w:name="pde-family-and-operator-learning"/>
    <w:p>
      <w:pPr>
        <w:pStyle w:val="Heading3"/>
      </w:pPr>
      <w:r>
        <w:t xml:space="preserve">3.1 PDE family and operator learning</w:t>
      </w:r>
    </w:p>
    <w:p>
      <w:pPr>
        <w:pStyle w:val="FirstParagraph"/>
      </w:pPr>
      <w:r>
        <w:t xml:space="preserve">Let (</w:t>
      </w:r>
      <w:r>
        <w:t xml:space="preserve">) denote a space of input functions or conditions (e.g. initial conditions, geometry fields, parameter maps, or stimulation patterns), and let (</w:t>
      </w:r>
      <w:r>
        <w:t xml:space="preserve">) denote a space of solution trajectories. For a biomedical PDE family, define the true solution operator</w:t>
      </w:r>
      <w:r>
        <w:t xml:space="preserve"> </w:t>
      </w:r>
      <w:r>
        <w:t xml:space="preserve">[</w:t>
      </w:r>
      <w:r>
        <w:t xml:space="preserve"> </w:t>
      </w:r>
      <w:r>
        <w:t xml:space="preserve">^</w:t>
      </w:r>
      <w:r>
        <w:t xml:space="preserve">:</w:t>
      </w:r>
      <w:r>
        <w:t xml:space="preserve"> </w:t>
      </w:r>
      <w:r>
        <w:t xml:space="preserve"> </w:t>
      </w:r>
      <w:r>
        <w:t xml:space="preserve">,</w:t>
      </w:r>
      <w:r>
        <w:t xml:space="preserve"> </w:t>
      </w:r>
      <w:r>
        <w:t xml:space="preserve">a</w:t>
      </w:r>
      <w:r>
        <w:t xml:space="preserve"> </w:t>
      </w:r>
      <w:r>
        <w:t xml:space="preserve">u.</w:t>
      </w:r>
      <w:r>
        <w:t xml:space="preserve"> </w:t>
      </w:r>
      <w:r>
        <w:t xml:space="preserve">]</w:t>
      </w:r>
      <w:r>
        <w:t xml:space="preserve"> </w:t>
      </w:r>
      <w:r>
        <w:t xml:space="preserve">We train a neural operator (</w:t>
      </w:r>
      <w:r>
        <w:t xml:space="preserve">_</w:t>
      </w:r>
      <w:r>
        <w:t xml:space="preserve">) to approximate (</w:t>
      </w:r>
      <w:r>
        <w:t xml:space="preserve">^</w:t>
      </w:r>
      <w:r>
        <w:t xml:space="preserve">).</w:t>
      </w:r>
    </w:p>
    <w:p>
      <w:pPr>
        <w:pStyle w:val="BodyText"/>
      </w:pPr>
      <w:r>
        <w:t xml:space="preserve">In cardiac electrophysiology, for example, (a) may contain the geometry, conductivity, cell-model parameters, boundary conditions, and initial stimulation, while (u) is the spatiotemporal voltage and recovery trajectory.</w:t>
      </w:r>
    </w:p>
    <w:bookmarkEnd w:id="33"/>
    <w:bookmarkStart w:id="34" w:name="X9a4a5a45f65b1a31584b34ed1df6417c0b28471"/>
    <w:p>
      <w:pPr>
        <w:pStyle w:val="Heading3"/>
      </w:pPr>
      <w:r>
        <w:t xml:space="preserve">3.2 Why unconditional prediction is insufficient</w:t>
      </w:r>
    </w:p>
    <w:p>
      <w:pPr>
        <w:pStyle w:val="FirstParagraph"/>
      </w:pPr>
      <w:r>
        <w:t xml:space="preserve">In deployment, (</w:t>
      </w:r>
      <w:r>
        <w:rPr>
          <w:i/>
          <w:iCs/>
        </w:rPr>
        <w:t xml:space="preserve">(a)) may be good on most of the domain but fail on a small clinically important subset. A single scalar global error metric hides this structure. We therefore introduce a selective predictor that returns both:</w:t>
      </w:r>
      <w:r>
        <w:rPr>
          <w:i/>
          <w:iCs/>
        </w:rPr>
        <w:t xml:space="preserve"> </w:t>
      </w:r>
      <w:r>
        <w:rPr>
          <w:i/>
          <w:iCs/>
        </w:rPr>
        <w:t xml:space="preserve">- a candidate solution (</w:t>
      </w:r>
      <w:r>
        <w:rPr>
          <w:i/>
          <w:iCs/>
        </w:rPr>
        <w:t xml:space="preserve">u =</w:t>
      </w:r>
      <w:r>
        <w:rPr>
          <w:i/>
          <w:iCs/>
        </w:rPr>
        <w:t xml:space="preserve"> </w:t>
      </w:r>
      <w:r>
        <w:t xml:space="preserve">(a)), and</w:t>
      </w:r>
      <w:r>
        <w:t xml:space="preserve"> </w:t>
      </w:r>
      <w:r>
        <w:t xml:space="preserve">- an acceptance mask or acceptance score (m).</w:t>
      </w:r>
    </w:p>
    <w:bookmarkEnd w:id="34"/>
    <w:bookmarkStart w:id="35" w:name="global-selective-prediction"/>
    <w:p>
      <w:pPr>
        <w:pStyle w:val="Heading3"/>
      </w:pPr>
      <w:r>
        <w:t xml:space="preserve">3.3 Global selective prediction</w:t>
      </w:r>
    </w:p>
    <w:p>
      <w:pPr>
        <w:pStyle w:val="FirstParagraph"/>
      </w:pPr>
      <w:r>
        <w:t xml:space="preserve">For a global accept/reject decision, define a score (s_</w:t>
      </w:r>
      <w:r>
        <w:t xml:space="preserve">(a,</w:t>
      </w:r>
      <w:r>
        <w:t xml:space="preserve"> </w:t>
      </w:r>
      <w:r>
        <w:t xml:space="preserve">u)</w:t>
      </w:r>
      <w:r>
        <w:t xml:space="preserve"> </w:t>
      </w:r>
      <w:r>
        <w:t xml:space="preserve">), where lower values indicate higher confidence. For threshold (</w:t>
      </w:r>
      <w:r>
        <w:t xml:space="preserve">), accept if</w:t>
      </w:r>
      <w:r>
        <w:t xml:space="preserve"> </w:t>
      </w:r>
      <w:r>
        <w:t xml:space="preserve">[</w:t>
      </w:r>
      <w:r>
        <w:t xml:space="preserve"> </w:t>
      </w:r>
      <w:r>
        <w:t xml:space="preserve">(a) =</w:t>
      </w:r>
      <w:r>
        <w:t xml:space="preserve"> </w:t>
      </w:r>
      <w:r>
        <w:t xml:space="preserve">{s_</w:t>
      </w:r>
      <w:r>
        <w:t xml:space="preserve">(a,</w:t>
      </w:r>
      <w:r>
        <w:t xml:space="preserve">u)</w:t>
      </w:r>
      <w:r>
        <w:t xml:space="preserve"> </w:t>
      </w:r>
      <w:r>
        <w:t xml:space="preserve">}.</w:t>
      </w:r>
      <w:r>
        <w:t xml:space="preserve"> </w:t>
      </w:r>
      <w:r>
        <w:t xml:space="preserve">]</w:t>
      </w:r>
      <w:r>
        <w:t xml:space="preserve"> </w:t>
      </w:r>
      <w:r>
        <w:t xml:space="preserve">Then selective coverage is</w:t>
      </w:r>
      <w:r>
        <w:t xml:space="preserve"> </w:t>
      </w:r>
      <w:r>
        <w:t xml:space="preserve">[</w:t>
      </w:r>
      <w:r>
        <w:t xml:space="preserve"> </w:t>
      </w:r>
      <w:r>
        <w:t xml:space="preserve">(</w:t>
      </w:r>
      <w:r>
        <w:t xml:space="preserve">) =</w:t>
      </w:r>
      <w:r>
        <w:t xml:space="preserve"> </w:t>
      </w:r>
      <w:r>
        <w:t xml:space="preserve">(</w:t>
      </w:r>
      <w:r>
        <w:t xml:space="preserve">(a)=1),</w:t>
      </w:r>
      <w:r>
        <w:t xml:space="preserve"> </w:t>
      </w:r>
      <w:r>
        <w:t xml:space="preserve">]</w:t>
      </w:r>
      <w:r>
        <w:t xml:space="preserve"> </w:t>
      </w:r>
      <w:r>
        <w:t xml:space="preserve">and selective risk is</w:t>
      </w:r>
      <w:r>
        <w:t xml:space="preserve"> </w:t>
      </w:r>
      <w:r>
        <w:t xml:space="preserve">[</w:t>
      </w:r>
      <w:r>
        <w:t xml:space="preserve"> </w:t>
      </w:r>
      <w:r>
        <w:t xml:space="preserve">(</w:t>
      </w:r>
      <w:r>
        <w:t xml:space="preserve">) =</w:t>
      </w:r>
      <w:r>
        <w:t xml:space="preserve"> </w:t>
      </w:r>
      <w:r>
        <w:t xml:space="preserve">[</w:t>
      </w:r>
      <w:r>
        <w:t xml:space="preserve">(</w:t>
      </w:r>
      <w:r>
        <w:t xml:space="preserve">u,u)</w:t>
      </w:r>
      <w:r>
        <w:t xml:space="preserve"> </w:t>
      </w:r>
      <w:r>
        <w:t xml:space="preserve">(a)=1],</w:t>
      </w:r>
      <w:r>
        <w:t xml:space="preserve"> </w:t>
      </w:r>
      <w:r>
        <w:t xml:space="preserve">]</w:t>
      </w:r>
      <w:r>
        <w:t xml:space="preserve"> </w:t>
      </w:r>
      <w:r>
        <w:t xml:space="preserve">where (</w:t>
      </w:r>
      <w:r>
        <w:t xml:space="preserve">) is an operator-level loss, such as RMSE over the full trajectory or a clinically relevant functional error.</w:t>
      </w:r>
    </w:p>
    <w:bookmarkEnd w:id="35"/>
    <w:bookmarkStart w:id="36" w:name="localized-selective-prediction"/>
    <w:p>
      <w:pPr>
        <w:pStyle w:val="Heading3"/>
      </w:pPr>
      <w:r>
        <w:t xml:space="preserve">3.4 Localized selective prediction</w:t>
      </w:r>
    </w:p>
    <w:p>
      <w:pPr>
        <w:pStyle w:val="FirstParagraph"/>
      </w:pPr>
      <w:r>
        <w:t xml:space="preserve">The more interesting setting is localized rejection. Let the output domain be (</w:t>
      </w:r>
      <w:r>
        <w:t xml:space="preserve">= D</w:t>
      </w:r>
      <w:r>
        <w:t xml:space="preserve"> </w:t>
      </w:r>
      <w:r>
        <w:t xml:space="preserve">T), where (D) is the spatial domain and (T) is the time grid. Define a pointwise or patchwise acceptance mask</w:t>
      </w:r>
      <w:r>
        <w:t xml:space="preserve"> </w:t>
      </w:r>
      <w:r>
        <w:t xml:space="preserve">[</w:t>
      </w:r>
      <w:r>
        <w:t xml:space="preserve"> </w:t>
      </w:r>
      <w:r>
        <w:t xml:space="preserve">M(a)(x,t)</w:t>
      </w:r>
      <w:r>
        <w:t xml:space="preserve"> </w:t>
      </w:r>
      <w:r>
        <w:t xml:space="preserve">{0,1}.</w:t>
      </w:r>
      <w:r>
        <w:t xml:space="preserve"> </w:t>
      </w:r>
      <w:r>
        <w:t xml:space="preserve">]</w:t>
      </w:r>
      <w:r>
        <w:t xml:space="preserve"> </w:t>
      </w:r>
      <w:r>
        <w:t xml:space="preserve">Then localized coverage is</w:t>
      </w:r>
      <w:r>
        <w:t xml:space="preserve"> </w:t>
      </w:r>
      <w:r>
        <w:t xml:space="preserve">[</w:t>
      </w:r>
      <w:r>
        <w:t xml:space="preserve"> </w:t>
      </w:r>
      <w:r>
        <w:t xml:space="preserve">(</w:t>
      </w:r>
      <w:r>
        <w:t xml:space="preserve">) =</w:t>
      </w:r>
      <w:r>
        <w:t xml:space="preserve"> </w:t>
      </w:r>
      <w:r>
        <w:t xml:space="preserve">,</w:t>
      </w:r>
      <w:r>
        <w:t xml:space="preserve"> </w:t>
      </w:r>
      <w:r>
        <w:t xml:space="preserve">]</w:t>
      </w:r>
      <w:r>
        <w:t xml:space="preserve"> </w:t>
      </w:r>
      <w:r>
        <w:t xml:space="preserve">and localized selective risk is</w:t>
      </w:r>
      <w:r>
        <w:t xml:space="preserve"> </w:t>
      </w:r>
      <w:r>
        <w:t xml:space="preserve">[</w:t>
      </w:r>
      <w:r>
        <w:t xml:space="preserve"> </w:t>
      </w:r>
      <w:r>
        <w:t xml:space="preserve">(</w:t>
      </w:r>
      <w:r>
        <w:t xml:space="preserve">) =</w:t>
      </w:r>
      <w:r>
        <w:t xml:space="preserve"> </w:t>
      </w:r>
      <w:r>
        <w:t xml:space="preserve">.</w:t>
      </w:r>
      <w:r>
        <w:t xml:space="preserve"> </w:t>
      </w:r>
      <w:r>
        <w:t xml:space="preserve">]</w:t>
      </w:r>
      <w:r>
        <w:t xml:space="preserve"> </w:t>
      </w:r>
      <w:r>
        <w:t xml:space="preserve">This formulation allows the model to trust its prediction on easy regions while deferring only hard regions.</w:t>
      </w:r>
    </w:p>
    <w:bookmarkEnd w:id="36"/>
    <w:bookmarkStart w:id="37" w:name="defer-mechanism"/>
    <w:p>
      <w:pPr>
        <w:pStyle w:val="Heading3"/>
      </w:pPr>
      <w:r>
        <w:t xml:space="preserve">3.5 Defer mechanism</w:t>
      </w:r>
    </w:p>
    <w:p>
      <w:pPr>
        <w:pStyle w:val="FirstParagraph"/>
      </w:pPr>
      <w:r>
        <w:t xml:space="preserve">A defer policy maps rejected cases or regions to a trusted fallback (</w:t>
      </w:r>
      <w:r>
        <w:t xml:space="preserve">), e.g.:</w:t>
      </w:r>
      <w:r>
        <w:t xml:space="preserve"> </w:t>
      </w:r>
      <w:r>
        <w:t xml:space="preserve">- a high-fidelity PDE solver,</w:t>
      </w:r>
      <w:r>
        <w:t xml:space="preserve"> </w:t>
      </w:r>
      <w:r>
        <w:t xml:space="preserve">- a coarse-to-fine local numerical patch solver,</w:t>
      </w:r>
      <w:r>
        <w:t xml:space="preserve"> </w:t>
      </w:r>
      <w:r>
        <w:t xml:space="preserve">- a more expensive but accurate surrogate,</w:t>
      </w:r>
      <w:r>
        <w:t xml:space="preserve"> </w:t>
      </w:r>
      <w:r>
        <w:t xml:space="preserve">- or expert inspection.</w:t>
      </w:r>
    </w:p>
    <w:p>
      <w:pPr>
        <w:pStyle w:val="BodyText"/>
      </w:pPr>
      <w:r>
        <w:t xml:space="preserve">The final prediction is</w:t>
      </w:r>
      <w:r>
        <w:t xml:space="preserve"> </w:t>
      </w:r>
      <w:r>
        <w:t xml:space="preserve">[</w:t>
      </w:r>
      <w:r>
        <w:t xml:space="preserve"> </w:t>
      </w:r>
      <w:r>
        <w:t xml:space="preserve">u(x,t) = M(x,t)</w:t>
      </w:r>
      <w:r>
        <w:t xml:space="preserve">u(x,t) + (1-M(x,t))</w:t>
      </w:r>
      <w:r>
        <w:t xml:space="preserve">(a)(x,t).</w:t>
      </w:r>
      <w:r>
        <w:t xml:space="preserve"> </w:t>
      </w:r>
      <w:r>
        <w:t xml:space="preserve">]</w:t>
      </w:r>
      <w:r>
        <w:t xml:space="preserve"> </w:t>
      </w:r>
      <w:r>
        <w:t xml:space="preserve">This is the central hybrid simulation object studied in the paper.</w:t>
      </w:r>
    </w:p>
    <w:p>
      <w:r>
        <w:pict>
          <v:rect style="width:0;height:1.5pt" o:hralign="center" o:hrstd="t" o:hr="t"/>
        </w:pict>
      </w:r>
    </w:p>
    <w:bookmarkEnd w:id="37"/>
    <w:bookmarkEnd w:id="38"/>
    <w:bookmarkStart w:id="55" w:name="X8e2b31df040ea22ed8a1916049641d62a5ae0ac"/>
    <w:p>
      <w:pPr>
        <w:pStyle w:val="Heading2"/>
      </w:pPr>
      <w:r>
        <w:t xml:space="preserve">4. Method: Selective Physics-Informed Neural Operators (SPINO)</w:t>
      </w:r>
    </w:p>
    <w:bookmarkStart w:id="39" w:name="overview"/>
    <w:p>
      <w:pPr>
        <w:pStyle w:val="Heading3"/>
      </w:pPr>
      <w:r>
        <w:t xml:space="preserve">4.1 Overview</w:t>
      </w:r>
    </w:p>
    <w:p>
      <w:pPr>
        <w:pStyle w:val="FirstParagraph"/>
      </w:pPr>
      <w:r>
        <w:t xml:space="preserve">SPINO consists of three coupled modules:</w:t>
      </w:r>
      <w:r>
        <w:t xml:space="preserve"> </w:t>
      </w:r>
      <w:r>
        <w:t xml:space="preserve">1.</w:t>
      </w:r>
      <w:r>
        <w:t xml:space="preserve"> </w:t>
      </w:r>
      <w:r>
        <w:rPr>
          <w:b/>
          <w:bCs/>
        </w:rPr>
        <w:t xml:space="preserve">Operator backbone</w:t>
      </w:r>
      <w:r>
        <w:t xml:space="preserve"> </w:t>
      </w:r>
      <w:r>
        <w:t xml:space="preserve">(</w:t>
      </w:r>
      <w:r>
        <w:rPr>
          <w:i/>
          <w:iCs/>
        </w:rPr>
        <w:t xml:space="preserve">): a PINO that predicts the solution trajectory.</w:t>
      </w:r>
      <w:r>
        <w:rPr>
          <w:i/>
          <w:iCs/>
        </w:rPr>
        <w:t xml:space="preserve"> </w:t>
      </w:r>
      <w:r>
        <w:rPr>
          <w:i/>
          <w:iCs/>
        </w:rPr>
        <w:t xml:space="preserve">2.</w:t>
      </w:r>
      <w:r>
        <w:rPr>
          <w:i/>
          <w:iCs/>
        </w:rPr>
        <w:t xml:space="preserve"> </w:t>
      </w:r>
      <w:r>
        <w:rPr>
          <w:b/>
          <w:bCs/>
          <w:i/>
          <w:iCs/>
        </w:rPr>
        <w:t xml:space="preserve">Reliability estimator</w:t>
      </w:r>
      <w:r>
        <w:rPr>
          <w:i/>
          <w:iCs/>
        </w:rPr>
        <w:t xml:space="preserve"> </w:t>
      </w:r>
      <w:r>
        <w:rPr>
          <w:i/>
          <w:iCs/>
        </w:rPr>
        <w:t xml:space="preserve">(s</w:t>
      </w:r>
      <w:r>
        <w:t xml:space="preserve">): a global or local rejector.</w:t>
      </w:r>
      <w:r>
        <w:t xml:space="preserve"> </w:t>
      </w:r>
      <w:r>
        <w:t xml:space="preserve">3.</w:t>
      </w:r>
      <w:r>
        <w:t xml:space="preserve"> </w:t>
      </w:r>
      <w:r>
        <w:rPr>
          <w:b/>
          <w:bCs/>
        </w:rPr>
        <w:t xml:space="preserve">Fallback/refinement module</w:t>
      </w:r>
      <w:r>
        <w:t xml:space="preserve"> </w:t>
      </w:r>
      <w:r>
        <w:t xml:space="preserve">(</w:t>
      </w:r>
      <w:r>
        <w:t xml:space="preserve">): a trusted solver or refinement process used on rejected outputs.</w:t>
      </w:r>
    </w:p>
    <w:p>
      <w:pPr>
        <w:pStyle w:val="BodyText"/>
      </w:pPr>
      <w:r>
        <w:t xml:space="preserve">The method is trained so that accepted predictions are accurate and physically consistent, while rejected predictions concentrate the difficult regimes.</w:t>
      </w:r>
    </w:p>
    <w:bookmarkEnd w:id="39"/>
    <w:bookmarkStart w:id="40" w:name="operator-backbone"/>
    <w:p>
      <w:pPr>
        <w:pStyle w:val="Heading3"/>
      </w:pPr>
      <w:r>
        <w:t xml:space="preserve">4.2 Operator backbone</w:t>
      </w:r>
    </w:p>
    <w:p>
      <w:pPr>
        <w:pStyle w:val="FirstParagraph"/>
      </w:pPr>
      <w:r>
        <w:t xml:space="preserve">We instantiate (</w:t>
      </w:r>
      <w:r>
        <w:rPr>
          <w:i/>
          <w:iCs/>
        </w:rPr>
        <w:t xml:space="preserve">) as a physics-informed neural operator, such as an FNO-based or geometry-aware operator network. The operator is trained using a standard supervised-plus-physics objective:</w:t>
      </w:r>
      <w:r>
        <w:rPr>
          <w:i/>
          <w:iCs/>
        </w:rPr>
        <w:t xml:space="preserve"> </w:t>
      </w:r>
      <w:r>
        <w:rPr>
          <w:i/>
          <w:iCs/>
        </w:rPr>
        <w:t xml:space="preserve">[</w:t>
      </w:r>
      <w:r>
        <w:rPr>
          <w:i/>
          <w:iCs/>
        </w:rPr>
        <w:t xml:space="preserve"> </w:t>
      </w:r>
      <w:r>
        <w:t xml:space="preserve">{</w:t>
      </w:r>
      <w:r>
        <w:t xml:space="preserve">} =</w:t>
      </w:r>
      <w:r>
        <w:t xml:space="preserve"> </w:t>
      </w:r>
      <w:r>
        <w:rPr>
          <w:i/>
          <w:iCs/>
        </w:rPr>
        <w:t xml:space="preserve">{data},</w:t>
      </w:r>
      <w:r>
        <w:rPr>
          <w:i/>
          <w:iCs/>
        </w:rPr>
        <w:t xml:space="preserve"> </w:t>
      </w:r>
      <w:r>
        <w:t xml:space="preserve">{data}(</w:t>
      </w:r>
      <w:r>
        <w:t xml:space="preserve">u, u)</w:t>
      </w:r>
      <w:r>
        <w:t xml:space="preserve"> </w:t>
      </w:r>
      <w:r>
        <w:t xml:space="preserve">+</w:t>
      </w:r>
      <w:r>
        <w:t xml:space="preserve"> </w:t>
      </w:r>
      <w:r>
        <w:rPr>
          <w:i/>
          <w:iCs/>
        </w:rPr>
        <w:t xml:space="preserve">{phys},</w:t>
      </w:r>
      <w:r>
        <w:rPr>
          <w:i/>
          <w:iCs/>
        </w:rPr>
        <w:t xml:space="preserve"> </w:t>
      </w:r>
      <w:r>
        <w:t xml:space="preserve">{phys}(</w:t>
      </w:r>
      <w:r>
        <w:t xml:space="preserve">u; a)</w:t>
      </w:r>
      <w:r>
        <w:t xml:space="preserve"> </w:t>
      </w:r>
      <w:r>
        <w:t xml:space="preserve">+</w:t>
      </w:r>
      <w:r>
        <w:t xml:space="preserve"> </w:t>
      </w:r>
      <w:r>
        <w:rPr>
          <w:i/>
          <w:iCs/>
        </w:rPr>
        <w:t xml:space="preserve">{bc},</w:t>
      </w:r>
      <w:r>
        <w:rPr>
          <w:i/>
          <w:iCs/>
        </w:rPr>
        <w:t xml:space="preserve"> </w:t>
      </w:r>
      <w:r>
        <w:t xml:space="preserve">{bc}(</w:t>
      </w:r>
      <w:r>
        <w:t xml:space="preserve">u; a)</w:t>
      </w:r>
      <w:r>
        <w:t xml:space="preserve"> </w:t>
      </w:r>
      <w:r>
        <w:t xml:space="preserve">+</w:t>
      </w:r>
      <w:r>
        <w:t xml:space="preserve"> </w:t>
      </w:r>
      <w:r>
        <w:rPr>
          <w:i/>
          <w:iCs/>
        </w:rPr>
        <w:t xml:space="preserve">{ic},</w:t>
      </w:r>
      <w:r>
        <w:rPr>
          <w:i/>
          <w:iCs/>
        </w:rPr>
        <w:t xml:space="preserve"> </w:t>
      </w:r>
      <w:r>
        <w:t xml:space="preserve">{ic}(</w:t>
      </w:r>
      <w:r>
        <w:t xml:space="preserve">u; a).</w:t>
      </w:r>
      <w:r>
        <w:t xml:space="preserve"> </w:t>
      </w:r>
      <w:r>
        <w:t xml:space="preserve">]</w:t>
      </w:r>
      <w:r>
        <w:t xml:space="preserve"> </w:t>
      </w:r>
      <w:r>
        <w:t xml:space="preserve">Depending on the application, (</w:t>
      </w:r>
      <w:r>
        <w:t xml:space="preserve">_{phys}) includes PDE residuals computed through autograd, finite differences, or differentiable solver residual evaluation.</w:t>
      </w:r>
    </w:p>
    <w:bookmarkEnd w:id="40"/>
    <w:bookmarkStart w:id="45" w:name="reliability-features"/>
    <w:p>
      <w:pPr>
        <w:pStyle w:val="Heading3"/>
      </w:pPr>
      <w:r>
        <w:t xml:space="preserve">4.3 Reliability features</w:t>
      </w:r>
    </w:p>
    <w:p>
      <w:pPr>
        <w:pStyle w:val="FirstParagraph"/>
      </w:pPr>
      <w:r>
        <w:t xml:space="preserve">The rejector uses a vector of reliability features extracted from the predicted solution, latent representation, and input conditions. Important feature groups are:</w:t>
      </w:r>
    </w:p>
    <w:bookmarkStart w:id="41" w:name="a-predictive-uncertainty"/>
    <w:p>
      <w:pPr>
        <w:pStyle w:val="Heading4"/>
      </w:pPr>
      <w:r>
        <w:t xml:space="preserve">(a) Predictive uncertainty</w:t>
      </w:r>
    </w:p>
    <w:p>
      <w:pPr>
        <w:pStyle w:val="Compact"/>
        <w:numPr>
          <w:ilvl w:val="0"/>
          <w:numId w:val="1002"/>
        </w:numPr>
      </w:pPr>
      <w:r>
        <w:t xml:space="preserve">ensemble variance,</w:t>
      </w:r>
    </w:p>
    <w:p>
      <w:pPr>
        <w:pStyle w:val="Compact"/>
        <w:numPr>
          <w:ilvl w:val="0"/>
          <w:numId w:val="1002"/>
        </w:numPr>
      </w:pPr>
      <w:r>
        <w:t xml:space="preserve">MC-dropout variance,</w:t>
      </w:r>
    </w:p>
    <w:p>
      <w:pPr>
        <w:pStyle w:val="Compact"/>
        <w:numPr>
          <w:ilvl w:val="0"/>
          <w:numId w:val="1002"/>
        </w:numPr>
      </w:pPr>
      <w:r>
        <w:t xml:space="preserve">feature-space disagreement,</w:t>
      </w:r>
    </w:p>
    <w:p>
      <w:pPr>
        <w:pStyle w:val="Compact"/>
        <w:numPr>
          <w:ilvl w:val="0"/>
          <w:numId w:val="1002"/>
        </w:numPr>
      </w:pPr>
      <w:r>
        <w:t xml:space="preserve">multi-step rollout variance.</w:t>
      </w:r>
    </w:p>
    <w:bookmarkEnd w:id="41"/>
    <w:bookmarkStart w:id="42" w:name="b-physics-inconsistency"/>
    <w:p>
      <w:pPr>
        <w:pStyle w:val="Heading4"/>
      </w:pPr>
      <w:r>
        <w:t xml:space="preserve">(b) Physics inconsistency</w:t>
      </w:r>
    </w:p>
    <w:p>
      <w:pPr>
        <w:pStyle w:val="Compact"/>
        <w:numPr>
          <w:ilvl w:val="0"/>
          <w:numId w:val="1003"/>
        </w:numPr>
      </w:pPr>
      <w:r>
        <w:t xml:space="preserve">PDE residual norm,</w:t>
      </w:r>
    </w:p>
    <w:p>
      <w:pPr>
        <w:pStyle w:val="Compact"/>
        <w:numPr>
          <w:ilvl w:val="0"/>
          <w:numId w:val="1003"/>
        </w:numPr>
      </w:pPr>
      <w:r>
        <w:t xml:space="preserve">boundary-condition mismatch,</w:t>
      </w:r>
    </w:p>
    <w:p>
      <w:pPr>
        <w:pStyle w:val="Compact"/>
        <w:numPr>
          <w:ilvl w:val="0"/>
          <w:numId w:val="1003"/>
        </w:numPr>
      </w:pPr>
      <w:r>
        <w:t xml:space="preserve">initial-condition mismatch,</w:t>
      </w:r>
    </w:p>
    <w:p>
      <w:pPr>
        <w:pStyle w:val="Compact"/>
        <w:numPr>
          <w:ilvl w:val="0"/>
          <w:numId w:val="1003"/>
        </w:numPr>
      </w:pPr>
      <w:r>
        <w:t xml:space="preserve">conservation-law violation,</w:t>
      </w:r>
    </w:p>
    <w:p>
      <w:pPr>
        <w:pStyle w:val="Compact"/>
        <w:numPr>
          <w:ilvl w:val="0"/>
          <w:numId w:val="1003"/>
        </w:numPr>
      </w:pPr>
      <w:r>
        <w:t xml:space="preserve">violation of monotonicity or domain-specific physiological constraints.</w:t>
      </w:r>
    </w:p>
    <w:bookmarkEnd w:id="42"/>
    <w:bookmarkStart w:id="43" w:name="c-dynamics-instability"/>
    <w:p>
      <w:pPr>
        <w:pStyle w:val="Heading4"/>
      </w:pPr>
      <w:r>
        <w:t xml:space="preserve">(c) Dynamics instability</w:t>
      </w:r>
    </w:p>
    <w:p>
      <w:pPr>
        <w:pStyle w:val="Compact"/>
        <w:numPr>
          <w:ilvl w:val="0"/>
          <w:numId w:val="1004"/>
        </w:numPr>
      </w:pPr>
      <w:r>
        <w:t xml:space="preserve">growth of residual over rollout,</w:t>
      </w:r>
    </w:p>
    <w:p>
      <w:pPr>
        <w:pStyle w:val="Compact"/>
        <w:numPr>
          <w:ilvl w:val="0"/>
          <w:numId w:val="1004"/>
        </w:numPr>
      </w:pPr>
      <w:r>
        <w:t xml:space="preserve">temporal drift,</w:t>
      </w:r>
    </w:p>
    <w:p>
      <w:pPr>
        <w:pStyle w:val="Compact"/>
        <w:numPr>
          <w:ilvl w:val="0"/>
          <w:numId w:val="1004"/>
        </w:numPr>
      </w:pPr>
      <w:r>
        <w:t xml:space="preserve">Lyapunov-like sensitivity proxies,</w:t>
      </w:r>
    </w:p>
    <w:p>
      <w:pPr>
        <w:pStyle w:val="Compact"/>
        <w:numPr>
          <w:ilvl w:val="0"/>
          <w:numId w:val="1004"/>
        </w:numPr>
      </w:pPr>
      <w:r>
        <w:t xml:space="preserve">discrepancy between one-step and recursive predictions.</w:t>
      </w:r>
    </w:p>
    <w:bookmarkEnd w:id="43"/>
    <w:bookmarkStart w:id="44" w:name="d-shift-indicators"/>
    <w:p>
      <w:pPr>
        <w:pStyle w:val="Heading4"/>
      </w:pPr>
      <w:r>
        <w:t xml:space="preserve">(d) Shift indicators</w:t>
      </w:r>
    </w:p>
    <w:p>
      <w:pPr>
        <w:pStyle w:val="Compact"/>
        <w:numPr>
          <w:ilvl w:val="0"/>
          <w:numId w:val="1005"/>
        </w:numPr>
      </w:pPr>
      <w:r>
        <w:t xml:space="preserve">embedding distance from training support,</w:t>
      </w:r>
    </w:p>
    <w:p>
      <w:pPr>
        <w:pStyle w:val="Compact"/>
        <w:numPr>
          <w:ilvl w:val="0"/>
          <w:numId w:val="1005"/>
        </w:numPr>
      </w:pPr>
      <w:r>
        <w:t xml:space="preserve">geometry OOD score,</w:t>
      </w:r>
    </w:p>
    <w:p>
      <w:pPr>
        <w:pStyle w:val="Compact"/>
        <w:numPr>
          <w:ilvl w:val="0"/>
          <w:numId w:val="1005"/>
        </w:numPr>
      </w:pPr>
      <w:r>
        <w:t xml:space="preserve">parameter OOD score,</w:t>
      </w:r>
    </w:p>
    <w:p>
      <w:pPr>
        <w:pStyle w:val="Compact"/>
        <w:numPr>
          <w:ilvl w:val="0"/>
          <w:numId w:val="1005"/>
        </w:numPr>
      </w:pPr>
      <w:r>
        <w:t xml:space="preserve">scenario classifier entropy.</w:t>
      </w:r>
    </w:p>
    <w:p>
      <w:pPr>
        <w:pStyle w:val="FirstParagraph"/>
      </w:pPr>
      <w:r>
        <w:t xml:space="preserve">These features are computed globally and, where possible, locally over space-time patches.</w:t>
      </w:r>
    </w:p>
    <w:bookmarkEnd w:id="44"/>
    <w:bookmarkEnd w:id="45"/>
    <w:bookmarkStart w:id="48" w:name="rejector-architecture"/>
    <w:p>
      <w:pPr>
        <w:pStyle w:val="Heading3"/>
      </w:pPr>
      <w:r>
        <w:t xml:space="preserve">4.4 Rejector architecture</w:t>
      </w:r>
    </w:p>
    <w:p>
      <w:pPr>
        <w:pStyle w:val="FirstParagraph"/>
      </w:pPr>
      <w:r>
        <w:t xml:space="preserve">We consider two rejector variants.</w:t>
      </w:r>
    </w:p>
    <w:bookmarkStart w:id="46" w:name="global-rejector"/>
    <w:p>
      <w:pPr>
        <w:pStyle w:val="Heading4"/>
      </w:pPr>
      <w:r>
        <w:t xml:space="preserve">Global rejector</w:t>
      </w:r>
    </w:p>
    <w:p>
      <w:pPr>
        <w:pStyle w:val="FirstParagraph"/>
      </w:pPr>
      <w:r>
        <w:t xml:space="preserve">A small MLP or transformer head produces a scalar score</w:t>
      </w:r>
      <w:r>
        <w:t xml:space="preserve"> </w:t>
      </w:r>
      <w:r>
        <w:t xml:space="preserve">[</w:t>
      </w:r>
      <w:r>
        <w:t xml:space="preserve"> </w:t>
      </w:r>
      <w:r>
        <w:t xml:space="preserve">s_</w:t>
      </w:r>
      <w:r>
        <w:t xml:space="preserve">(a,</w:t>
      </w:r>
      <w:r>
        <w:t xml:space="preserve">u,z)</w:t>
      </w:r>
      <w:r>
        <w:t xml:space="preserve"> </w:t>
      </w:r>
      <w:r>
        <w:t xml:space="preserve">,</w:t>
      </w:r>
      <w:r>
        <w:t xml:space="preserve"> </w:t>
      </w:r>
      <w:r>
        <w:t xml:space="preserve">]</w:t>
      </w:r>
      <w:r>
        <w:t xml:space="preserve"> </w:t>
      </w:r>
      <w:r>
        <w:t xml:space="preserve">where (z) is a latent representation from the operator.</w:t>
      </w:r>
    </w:p>
    <w:bookmarkEnd w:id="46"/>
    <w:bookmarkStart w:id="47" w:name="local-rejector"/>
    <w:p>
      <w:pPr>
        <w:pStyle w:val="Heading4"/>
      </w:pPr>
      <w:r>
        <w:t xml:space="preserve">Local rejector</w:t>
      </w:r>
    </w:p>
    <w:p>
      <w:pPr>
        <w:pStyle w:val="FirstParagraph"/>
      </w:pPr>
      <w:r>
        <w:t xml:space="preserve">A U-Net-style or operator-head decoder produces a mask score map over (D</w:t>
      </w:r>
      <w:r>
        <w:t xml:space="preserve"> </w:t>
      </w:r>
      <w:r>
        <w:t xml:space="preserve">T):</w:t>
      </w:r>
      <w:r>
        <w:t xml:space="preserve"> </w:t>
      </w:r>
      <w:r>
        <w:t xml:space="preserve">[</w:t>
      </w:r>
      <w:r>
        <w:t xml:space="preserve"> </w:t>
      </w:r>
      <w:r>
        <w:t xml:space="preserve">s_</w:t>
      </w:r>
      <w:r>
        <w:t xml:space="preserve">(a,</w:t>
      </w:r>
      <w:r>
        <w:t xml:space="preserve">u,z)(x,t)</w:t>
      </w:r>
      <w:r>
        <w:t xml:space="preserve"> </w:t>
      </w:r>
      <w:r>
        <w:t xml:space="preserve">.</w:t>
      </w:r>
      <w:r>
        <w:t xml:space="preserve"> </w:t>
      </w:r>
      <w:r>
        <w:t xml:space="preserve">]</w:t>
      </w:r>
      <w:r>
        <w:t xml:space="preserve"> </w:t>
      </w:r>
      <w:r>
        <w:t xml:space="preserve">Thresholding this score yields a binary trust mask.</w:t>
      </w:r>
    </w:p>
    <w:bookmarkEnd w:id="47"/>
    <w:bookmarkEnd w:id="48"/>
    <w:bookmarkStart w:id="52" w:name="joint-objective"/>
    <w:p>
      <w:pPr>
        <w:pStyle w:val="Heading3"/>
      </w:pPr>
      <w:r>
        <w:t xml:space="preserve">4.5 Joint objective</w:t>
      </w:r>
    </w:p>
    <w:p>
      <w:pPr>
        <w:pStyle w:val="FirstParagraph"/>
      </w:pPr>
      <w:r>
        <w:t xml:space="preserve">Training should encourage three properties:</w:t>
      </w:r>
      <w:r>
        <w:t xml:space="preserve"> </w:t>
      </w:r>
      <w:r>
        <w:t xml:space="preserve">1. accurate surrogate prediction,</w:t>
      </w:r>
      <w:r>
        <w:t xml:space="preserve"> </w:t>
      </w:r>
      <w:r>
        <w:t xml:space="preserve">2. concentration of errors into rejected outputs,</w:t>
      </w:r>
      <w:r>
        <w:t xml:space="preserve"> </w:t>
      </w:r>
      <w:r>
        <w:t xml:space="preserve">3. sufficient accepted coverage.</w:t>
      </w:r>
    </w:p>
    <w:p>
      <w:pPr>
        <w:pStyle w:val="BodyText"/>
      </w:pPr>
      <w:r>
        <w:t xml:space="preserve">We define the total loss</w:t>
      </w:r>
      <w:r>
        <w:t xml:space="preserve"> </w:t>
      </w:r>
      <w:r>
        <w:t xml:space="preserve">[</w:t>
      </w:r>
      <w:r>
        <w:t xml:space="preserve"> </w:t>
      </w:r>
      <w:r>
        <w:t xml:space="preserve"> </w:t>
      </w:r>
      <w:r>
        <w:t xml:space="preserve">=</w:t>
      </w:r>
      <w:r>
        <w:t xml:space="preserve"> </w:t>
      </w:r>
      <w:r>
        <w:rPr>
          <w:i/>
          <w:iCs/>
        </w:rPr>
        <w:t xml:space="preserve">{op} +</w:t>
      </w:r>
      <w:r>
        <w:rPr>
          <w:i/>
          <w:iCs/>
        </w:rPr>
        <w:t xml:space="preserve"> </w:t>
      </w:r>
      <w:r>
        <w:t xml:space="preserve">{rej}</w:t>
      </w:r>
      <w:r>
        <w:rPr>
          <w:i/>
          <w:iCs/>
        </w:rPr>
        <w:t xml:space="preserve">{rej} +</w:t>
      </w:r>
      <w:r>
        <w:rPr>
          <w:i/>
          <w:iCs/>
        </w:rPr>
        <w:t xml:space="preserve"> </w:t>
      </w:r>
      <w:r>
        <w:t xml:space="preserve">{cov}</w:t>
      </w:r>
      <w:r>
        <w:rPr>
          <w:i/>
          <w:iCs/>
        </w:rPr>
        <w:t xml:space="preserve">{cov} +</w:t>
      </w:r>
      <w:r>
        <w:rPr>
          <w:i/>
          <w:iCs/>
        </w:rPr>
        <w:t xml:space="preserve"> </w:t>
      </w:r>
      <w:r>
        <w:t xml:space="preserve">{smooth}</w:t>
      </w:r>
      <w:r>
        <w:t xml:space="preserve">_{mask}.</w:t>
      </w:r>
      <w:r>
        <w:t xml:space="preserve"> </w:t>
      </w:r>
      <w:r>
        <w:t xml:space="preserve">]</w:t>
      </w:r>
    </w:p>
    <w:bookmarkStart w:id="49" w:name="rejector-supervision"/>
    <w:p>
      <w:pPr>
        <w:pStyle w:val="Heading4"/>
      </w:pPr>
      <w:r>
        <w:t xml:space="preserve">Rejector supervision</w:t>
      </w:r>
    </w:p>
    <w:p>
      <w:pPr>
        <w:pStyle w:val="FirstParagraph"/>
      </w:pPr>
      <w:r>
        <w:t xml:space="preserve">The rejector is supervised by a proxy of future error. Let (r(a)) be a target reliability signal, for example:</w:t>
      </w:r>
      <w:r>
        <w:t xml:space="preserve"> </w:t>
      </w:r>
      <w:r>
        <w:t xml:space="preserve">- actual simulation error on a held-out target trajectory,</w:t>
      </w:r>
      <w:r>
        <w:t xml:space="preserve"> </w:t>
      </w:r>
      <w:r>
        <w:t xml:space="preserve">- local error map,</w:t>
      </w:r>
      <w:r>
        <w:t xml:space="preserve"> </w:t>
      </w:r>
      <w:r>
        <w:t xml:space="preserve">- solver discrepancy,</w:t>
      </w:r>
      <w:r>
        <w:t xml:space="preserve"> </w:t>
      </w:r>
      <w:r>
        <w:t xml:space="preserve">- event-level error.</w:t>
      </w:r>
    </w:p>
    <w:p>
      <w:pPr>
        <w:pStyle w:val="BodyText"/>
      </w:pPr>
      <w:r>
        <w:t xml:space="preserve">The rejector learns to predict high risk where (r(a)) is large. For global selection,</w:t>
      </w:r>
      <w:r>
        <w:t xml:space="preserve"> </w:t>
      </w:r>
      <w:r>
        <w:t xml:space="preserve">[</w:t>
      </w:r>
      <w:r>
        <w:t xml:space="preserve"> </w:t>
      </w:r>
      <w:r>
        <w:rPr>
          <w:i/>
          <w:iCs/>
        </w:rPr>
        <w:t xml:space="preserve">{rej} =</w:t>
      </w:r>
      <w:r>
        <w:rPr>
          <w:i/>
          <w:iCs/>
        </w:rPr>
        <w:t xml:space="preserve"> </w:t>
      </w:r>
      <w:r>
        <w:rPr>
          <w:i/>
          <w:iCs/>
        </w:rPr>
        <w:t xml:space="preserve">(</w:t>
      </w:r>
      <w:r>
        <w:rPr>
          <w:i/>
          <w:iCs/>
        </w:rPr>
        <w:t xml:space="preserve">(-s</w:t>
      </w:r>
      <w:r>
        <w:t xml:space="preserve">), y_{safe})</w:t>
      </w:r>
      <w:r>
        <w:t xml:space="preserve"> </w:t>
      </w:r>
      <w:r>
        <w:t xml:space="preserve">]</w:t>
      </w:r>
      <w:r>
        <w:t xml:space="preserve"> </w:t>
      </w:r>
      <w:r>
        <w:t xml:space="preserve">or a ranking loss that orders safe samples below unsafe samples. For local selection, (</w:t>
      </w:r>
      <w:r>
        <w:t xml:space="preserve">_{rej}) is a pixelwise or patchwise segmentation-style loss against unsafe regions.</w:t>
      </w:r>
    </w:p>
    <w:bookmarkEnd w:id="49"/>
    <w:bookmarkStart w:id="50" w:name="coverage-regularization"/>
    <w:p>
      <w:pPr>
        <w:pStyle w:val="Heading4"/>
      </w:pPr>
      <w:r>
        <w:t xml:space="preserve">Coverage regularization</w:t>
      </w:r>
    </w:p>
    <w:p>
      <w:pPr>
        <w:pStyle w:val="FirstParagraph"/>
      </w:pPr>
      <w:r>
        <w:t xml:space="preserve">To avoid trivial rejection of everything, we impose a target acceptance rate (</w:t>
      </w:r>
      <w:r>
        <w:t xml:space="preserve">):</w:t>
      </w:r>
      <w:r>
        <w:t xml:space="preserve"> </w:t>
      </w:r>
      <w:r>
        <w:t xml:space="preserve">[</w:t>
      </w:r>
      <w:r>
        <w:t xml:space="preserve"> </w:t>
      </w:r>
      <w:r>
        <w:t xml:space="preserve">_{cov} = (</w:t>
      </w:r>
      <w:r>
        <w:t xml:space="preserve"> </w:t>
      </w:r>
      <w:r>
        <w:t xml:space="preserve">-</w:t>
      </w:r>
      <w:r>
        <w:t xml:space="preserve"> </w:t>
      </w:r>
      <w:r>
        <w:t xml:space="preserve">)^2</w:t>
      </w:r>
      <w:r>
        <w:t xml:space="preserve"> </w:t>
      </w:r>
      <w:r>
        <w:t xml:space="preserve">]</w:t>
      </w:r>
      <w:r>
        <w:t xml:space="preserve"> </w:t>
      </w:r>
      <w:r>
        <w:t xml:space="preserve">for global selection, or the localized analogue for regional masks.</w:t>
      </w:r>
    </w:p>
    <w:bookmarkEnd w:id="50"/>
    <w:bookmarkStart w:id="51" w:name="spatial-smoothness-coherence"/>
    <w:p>
      <w:pPr>
        <w:pStyle w:val="Heading4"/>
      </w:pPr>
      <w:r>
        <w:t xml:space="preserve">Spatial smoothness / coherence</w:t>
      </w:r>
    </w:p>
    <w:p>
      <w:pPr>
        <w:pStyle w:val="FirstParagraph"/>
      </w:pPr>
      <w:r>
        <w:t xml:space="preserve">For local rejection, we regularize the mask to avoid noisy salt-and-pepper defer regions:</w:t>
      </w:r>
      <w:r>
        <w:t xml:space="preserve"> </w:t>
      </w:r>
      <w:r>
        <w:t xml:space="preserve">[</w:t>
      </w:r>
      <w:r>
        <w:t xml:space="preserve"> </w:t>
      </w:r>
      <w:r>
        <w:t xml:space="preserve">_{mask} =</w:t>
      </w:r>
      <w:r>
        <w:t xml:space="preserve"> </w:t>
      </w:r>
      <w:r>
        <w:t xml:space="preserve">(M)</w:t>
      </w:r>
      <w:r>
        <w:t xml:space="preserve"> </w:t>
      </w:r>
      <w:r>
        <w:t xml:space="preserve"> </w:t>
      </w:r>
      <w:r>
        <w:t xml:space="preserve">]</w:t>
      </w:r>
    </w:p>
    <w:bookmarkEnd w:id="51"/>
    <w:bookmarkEnd w:id="52"/>
    <w:bookmarkStart w:id="53" w:name="two-stage-training-strategy"/>
    <w:p>
      <w:pPr>
        <w:pStyle w:val="Heading3"/>
      </w:pPr>
      <w:r>
        <w:t xml:space="preserve">4.6 Two-stage training strategy</w:t>
      </w:r>
    </w:p>
    <w:p>
      <w:pPr>
        <w:pStyle w:val="FirstParagraph"/>
      </w:pPr>
      <w:r>
        <w:t xml:space="preserve">A stable optimization protocol is:</w:t>
      </w:r>
    </w:p>
    <w:p>
      <w:pPr>
        <w:pStyle w:val="BodyText"/>
      </w:pPr>
      <w:r>
        <w:rPr>
          <w:b/>
          <w:bCs/>
        </w:rPr>
        <w:t xml:space="preserve">Stage 1: Operator pretraining</w:t>
      </w:r>
      <w:r>
        <w:t xml:space="preserve"> </w:t>
      </w:r>
      <w:r>
        <w:t xml:space="preserve">- Train the PINO backbone using data and physics losses only.</w:t>
      </w:r>
      <w:r>
        <w:t xml:space="preserve"> </w:t>
      </w:r>
      <w:r>
        <w:t xml:space="preserve">- Establish a strong predictive prior.</w:t>
      </w:r>
    </w:p>
    <w:p>
      <w:pPr>
        <w:pStyle w:val="BodyText"/>
      </w:pPr>
      <w:r>
        <w:rPr>
          <w:b/>
          <w:bCs/>
        </w:rPr>
        <w:t xml:space="preserve">Stage 2: Reliability learning</w:t>
      </w:r>
      <w:r>
        <w:t xml:space="preserve"> </w:t>
      </w:r>
      <w:r>
        <w:t xml:space="preserve">- Freeze or partially fine-tune the operator.</w:t>
      </w:r>
      <w:r>
        <w:t xml:space="preserve"> </w:t>
      </w:r>
      <w:r>
        <w:t xml:space="preserve">- Compute reliability targets from trajectory error and local error maps.</w:t>
      </w:r>
      <w:r>
        <w:t xml:space="preserve"> </w:t>
      </w:r>
      <w:r>
        <w:t xml:space="preserve">- Train the rejector and optionally fine-tune the operator with selective objectives.</w:t>
      </w:r>
    </w:p>
    <w:p>
      <w:pPr>
        <w:pStyle w:val="BodyText"/>
      </w:pPr>
      <w:r>
        <w:rPr>
          <w:b/>
          <w:bCs/>
        </w:rPr>
        <w:t xml:space="preserve">Stage 3: Hybrid fine-tuning</w:t>
      </w:r>
      <w:r>
        <w:t xml:space="preserve"> </w:t>
      </w:r>
      <w:r>
        <w:t xml:space="preserve">- Train the end-to-end hybrid system with fallback-in-the-loop simulation if computationally feasible.</w:t>
      </w:r>
      <w:r>
        <w:t xml:space="preserve"> </w:t>
      </w:r>
      <w:r>
        <w:t xml:space="preserve">- Optimize compute-risk trade-offs explicitly.</w:t>
      </w:r>
    </w:p>
    <w:bookmarkEnd w:id="53"/>
    <w:bookmarkStart w:id="54" w:name="inference-modes"/>
    <w:p>
      <w:pPr>
        <w:pStyle w:val="Heading3"/>
      </w:pPr>
      <w:r>
        <w:t xml:space="preserve">4.7 Inference modes</w:t>
      </w:r>
    </w:p>
    <w:p>
      <w:pPr>
        <w:pStyle w:val="FirstParagraph"/>
      </w:pPr>
      <w:r>
        <w:t xml:space="preserve">At test time, SPINO supports four modes:</w:t>
      </w:r>
    </w:p>
    <w:p>
      <w:pPr>
        <w:pStyle w:val="Compact"/>
        <w:numPr>
          <w:ilvl w:val="0"/>
          <w:numId w:val="1006"/>
        </w:numPr>
      </w:pPr>
      <w:r>
        <w:rPr>
          <w:b/>
          <w:bCs/>
        </w:rPr>
        <w:t xml:space="preserve">Always predict:</w:t>
      </w:r>
      <w:r>
        <w:t xml:space="preserve"> </w:t>
      </w:r>
      <w:r>
        <w:t xml:space="preserve">use the operator everywhere.</w:t>
      </w:r>
    </w:p>
    <w:p>
      <w:pPr>
        <w:pStyle w:val="Compact"/>
        <w:numPr>
          <w:ilvl w:val="0"/>
          <w:numId w:val="1006"/>
        </w:numPr>
      </w:pPr>
      <w:r>
        <w:rPr>
          <w:b/>
          <w:bCs/>
        </w:rPr>
        <w:t xml:space="preserve">Global defer:</w:t>
      </w:r>
      <w:r>
        <w:t xml:space="preserve"> </w:t>
      </w:r>
      <w:r>
        <w:t xml:space="preserve">defer full cases below a trust threshold.</w:t>
      </w:r>
    </w:p>
    <w:p>
      <w:pPr>
        <w:pStyle w:val="Compact"/>
        <w:numPr>
          <w:ilvl w:val="0"/>
          <w:numId w:val="1006"/>
        </w:numPr>
      </w:pPr>
      <w:r>
        <w:rPr>
          <w:b/>
          <w:bCs/>
        </w:rPr>
        <w:t xml:space="preserve">Local defer:</w:t>
      </w:r>
      <w:r>
        <w:t xml:space="preserve"> </w:t>
      </w:r>
      <w:r>
        <w:t xml:space="preserve">predict most regions, refine only unsafe areas.</w:t>
      </w:r>
    </w:p>
    <w:p>
      <w:pPr>
        <w:pStyle w:val="Compact"/>
        <w:numPr>
          <w:ilvl w:val="0"/>
          <w:numId w:val="1006"/>
        </w:numPr>
      </w:pPr>
      <w:r>
        <w:rPr>
          <w:b/>
          <w:bCs/>
        </w:rPr>
        <w:t xml:space="preserve">Multi-fidelity routing:</w:t>
      </w:r>
      <w:r>
        <w:t xml:space="preserve"> </w:t>
      </w:r>
      <w:r>
        <w:t xml:space="preserve">send easy cases to the surrogate, medium cases to a cheaper solver, and hard cases to a full solver.</w:t>
      </w:r>
    </w:p>
    <w:p>
      <w:r>
        <w:pict>
          <v:rect style="width:0;height:1.5pt" o:hralign="center" o:hrstd="t" o:hr="t"/>
        </w:pict>
      </w:r>
    </w:p>
    <w:bookmarkEnd w:id="54"/>
    <w:bookmarkEnd w:id="55"/>
    <w:bookmarkStart w:id="61" w:name="theory"/>
    <w:p>
      <w:pPr>
        <w:pStyle w:val="Heading2"/>
      </w:pPr>
      <w:r>
        <w:t xml:space="preserve">5. Theory</w:t>
      </w:r>
    </w:p>
    <w:p>
      <w:pPr>
        <w:pStyle w:val="FirstParagraph"/>
      </w:pPr>
      <w:r>
        <w:t xml:space="preserve">This section gives a theorem structure suitable for the full paper. The exact assumptions can be adapted after experiments and proof development.</w:t>
      </w:r>
    </w:p>
    <w:bookmarkStart w:id="56" w:name="definitions"/>
    <w:p>
      <w:pPr>
        <w:pStyle w:val="Heading3"/>
      </w:pPr>
      <w:r>
        <w:t xml:space="preserve">5.1 Definitions</w:t>
      </w:r>
    </w:p>
    <w:p>
      <w:pPr>
        <w:pStyle w:val="FirstParagraph"/>
      </w:pPr>
      <w:r>
        <w:t xml:space="preserve">Let (</w:t>
      </w:r>
      <w:r>
        <w:t xml:space="preserve">(u,</w:t>
      </w:r>
      <w:r>
        <w:t xml:space="preserve">u)) be a bounded operator loss, and let (R(</w:t>
      </w:r>
      <w:r>
        <w:t xml:space="preserve">u;a)) denote a computable physics inconsistency term, e.g. PDE residual plus boundary mismatch. Let (s(a,</w:t>
      </w:r>
      <w:r>
        <w:t xml:space="preserve">u)) be a reject score. Assume accepted outputs satisfy</w:t>
      </w:r>
      <w:r>
        <w:t xml:space="preserve"> </w:t>
      </w:r>
      <w:r>
        <w:t xml:space="preserve">[</w:t>
      </w:r>
      <w:r>
        <w:t xml:space="preserve"> </w:t>
      </w:r>
      <w:r>
        <w:t xml:space="preserve">s(a,</w:t>
      </w:r>
      <w:r>
        <w:t xml:space="preserve">u)</w:t>
      </w:r>
      <w:r>
        <w:t xml:space="preserve"> </w:t>
      </w:r>
      <w:r>
        <w:t xml:space="preserve">.</w:t>
      </w:r>
      <w:r>
        <w:t xml:space="preserve"> </w:t>
      </w:r>
      <w:r>
        <w:t xml:space="preserve">]</w:t>
      </w:r>
      <w:r>
        <w:t xml:space="preserve"> </w:t>
      </w:r>
      <w:r>
        <w:t xml:space="preserve">Suppose the score is constructed so that there exists a monotone function (</w:t>
      </w:r>
      <w:r>
        <w:t xml:space="preserve">) with</w:t>
      </w:r>
      <w:r>
        <w:t xml:space="preserve"> </w:t>
      </w:r>
      <w:r>
        <w:t xml:space="preserve">[</w:t>
      </w:r>
      <w:r>
        <w:t xml:space="preserve"> </w:t>
      </w:r>
      <w:r>
        <w:t xml:space="preserve">(u,</w:t>
      </w:r>
      <w:r>
        <w:t xml:space="preserve">u)</w:t>
      </w:r>
      <w:r>
        <w:t xml:space="preserve"> </w:t>
      </w:r>
      <w:r>
        <w:t xml:space="preserve">(</w:t>
      </w:r>
      <w:r>
        <w:t xml:space="preserve"> </w:t>
      </w:r>
      <w:r>
        <w:rPr>
          <w:i/>
          <w:iCs/>
        </w:rPr>
        <w:t xml:space="preserve">{approx}(a) + R(</w:t>
      </w:r>
      <w:r>
        <w:rPr>
          <w:i/>
          <w:iCs/>
        </w:rPr>
        <w:t xml:space="preserve">u;a) +</w:t>
      </w:r>
      <w:r>
        <w:rPr>
          <w:i/>
          <w:iCs/>
        </w:rPr>
        <w:t xml:space="preserve"> </w:t>
      </w:r>
      <w:r>
        <w:t xml:space="preserve">{shift}(a)</w:t>
      </w:r>
      <w:r>
        <w:t xml:space="preserve"> </w:t>
      </w:r>
      <w:r>
        <w:t xml:space="preserve">),</w:t>
      </w:r>
      <w:r>
        <w:t xml:space="preserve"> </w:t>
      </w:r>
      <w:r>
        <w:t xml:space="preserve">]</w:t>
      </w:r>
      <w:r>
        <w:t xml:space="preserve"> </w:t>
      </w:r>
      <w:r>
        <w:t xml:space="preserve">where (</w:t>
      </w:r>
      <w:r>
        <w:rPr>
          <w:i/>
          <w:iCs/>
        </w:rPr>
        <w:t xml:space="preserve">{approx}(a)) is approximation error and (</w:t>
      </w:r>
      <w:r>
        <w:t xml:space="preserve">{shift}(a)) is a shift term.</w:t>
      </w:r>
    </w:p>
    <w:bookmarkEnd w:id="56"/>
    <w:bookmarkStart w:id="57" w:name="proposition-accepted-risk-decomposition"/>
    <w:p>
      <w:pPr>
        <w:pStyle w:val="Heading3"/>
      </w:pPr>
      <w:r>
        <w:t xml:space="preserve">5.2 Proposition: accepted-risk decomposition</w:t>
      </w:r>
    </w:p>
    <w:p>
      <w:pPr>
        <w:pStyle w:val="FirstParagraph"/>
      </w:pPr>
      <w:r>
        <w:rPr>
          <w:b/>
          <w:bCs/>
        </w:rPr>
        <w:t xml:space="preserve">Proposition 1 (Accepted-risk decomposition).</w:t>
      </w:r>
      <w:r>
        <w:t xml:space="preserve"> </w:t>
      </w:r>
      <w:r>
        <w:t xml:space="preserve">For any threshold (</w:t>
      </w:r>
      <w:r>
        <w:t xml:space="preserve">), the selective risk of SPINO decomposes as</w:t>
      </w:r>
      <w:r>
        <w:t xml:space="preserve"> </w:t>
      </w:r>
      <w:r>
        <w:t xml:space="preserve">[</w:t>
      </w:r>
      <w:r>
        <w:t xml:space="preserve"> </w:t>
      </w:r>
      <w:r>
        <w:t xml:space="preserve">(</w:t>
      </w:r>
      <w:r>
        <w:t xml:space="preserve">)</w:t>
      </w:r>
      <w:r>
        <w:t xml:space="preserve"> </w:t>
      </w:r>
      <w:r>
        <w:t xml:space="preserve"> </w:t>
      </w:r>
      <w:r>
        <w:t xml:space="preserve">[</w:t>
      </w:r>
      <w:r>
        <w:t xml:space="preserve">(</w:t>
      </w:r>
      <w:r>
        <w:rPr>
          <w:i/>
          <w:iCs/>
        </w:rPr>
        <w:t xml:space="preserve">{approx}+R+</w:t>
      </w:r>
      <w:r>
        <w:t xml:space="preserve">{shift})</w:t>
      </w:r>
      <w:r>
        <w:t xml:space="preserve"> </w:t>
      </w:r>
      <w:r>
        <w:t xml:space="preserve">s</w:t>
      </w:r>
      <w:r>
        <w:t xml:space="preserve"> </w:t>
      </w:r>
      <w:r>
        <w:t xml:space="preserve">].</w:t>
      </w:r>
      <w:r>
        <w:t xml:space="preserve"> </w:t>
      </w:r>
      <w:r>
        <w:t xml:space="preserve">]</w:t>
      </w:r>
      <w:r>
        <w:t xml:space="preserve"> </w:t>
      </w:r>
      <w:r>
        <w:t xml:space="preserve">This shows that accepted risk is small when accepted samples have small residual and low shift, even if unconditional error is not uniformly small.</w:t>
      </w:r>
    </w:p>
    <w:bookmarkEnd w:id="57"/>
    <w:bookmarkStart w:id="58" w:name="X09847a76cbe33b3748f77bc34bed29ebe725e59"/>
    <w:p>
      <w:pPr>
        <w:pStyle w:val="Heading3"/>
      </w:pPr>
      <w:r>
        <w:t xml:space="preserve">5.3 Theorem: thresholded residual-aware accepted-risk bound</w:t>
      </w:r>
    </w:p>
    <w:p>
      <w:pPr>
        <w:pStyle w:val="FirstParagraph"/>
      </w:pPr>
      <w:r>
        <w:rPr>
          <w:b/>
          <w:bCs/>
        </w:rPr>
        <w:t xml:space="preserve">Theorem 1 (Residual-aware selective bound).</w:t>
      </w:r>
      <w:r>
        <w:t xml:space="preserve"> </w:t>
      </w:r>
      <w:r>
        <w:t xml:space="preserve">Assume:</w:t>
      </w:r>
      <w:r>
        <w:t xml:space="preserve"> </w:t>
      </w:r>
      <w:r>
        <w:t xml:space="preserve">1. the PDE solution operator is stable in the neighborhood of interest,</w:t>
      </w:r>
      <w:r>
        <w:t xml:space="preserve"> </w:t>
      </w:r>
      <w:r>
        <w:t xml:space="preserve">2. the numerical residual estimator is consistent,</w:t>
      </w:r>
      <w:r>
        <w:t xml:space="preserve"> </w:t>
      </w:r>
      <w:r>
        <w:t xml:space="preserve">3. the reject score upper-bounds a monotone surrogate of approximation error, residual, and shift,</w:t>
      </w:r>
      <w:r>
        <w:t xml:space="preserve"> </w:t>
      </w:r>
      <w:r>
        <w:t xml:space="preserve">4. and the accepted set is ({s</w:t>
      </w:r>
      <w:r>
        <w:t xml:space="preserve"> </w:t>
      </w:r>
      <w:r>
        <w:t xml:space="preserve">}).</w:t>
      </w:r>
    </w:p>
    <w:p>
      <w:pPr>
        <w:pStyle w:val="BodyText"/>
      </w:pPr>
      <w:r>
        <w:t xml:space="preserve">Then there exists a monotone function (</w:t>
      </w:r>
      <w:r>
        <w:t xml:space="preserve">) such that</w:t>
      </w:r>
      <w:r>
        <w:t xml:space="preserve"> </w:t>
      </w:r>
      <w:r>
        <w:t xml:space="preserve">[</w:t>
      </w:r>
      <w:r>
        <w:t xml:space="preserve"> </w:t>
      </w:r>
      <w:r>
        <w:t xml:space="preserve">(</w:t>
      </w:r>
      <w:r>
        <w:t xml:space="preserve">)</w:t>
      </w:r>
      <w:r>
        <w:t xml:space="preserve"> </w:t>
      </w:r>
      <w:r>
        <w:t xml:space="preserve">(</w:t>
      </w:r>
      <w:r>
        <w:t xml:space="preserve">) +</w:t>
      </w:r>
      <w:r>
        <w:t xml:space="preserve"> </w:t>
      </w:r>
      <w:r>
        <w:t xml:space="preserve">_n,</w:t>
      </w:r>
      <w:r>
        <w:t xml:space="preserve"> </w:t>
      </w:r>
      <w:r>
        <w:t xml:space="preserve">]</w:t>
      </w:r>
      <w:r>
        <w:t xml:space="preserve"> </w:t>
      </w:r>
      <w:r>
        <w:t xml:space="preserve">where (</w:t>
      </w:r>
      <w:r>
        <w:t xml:space="preserve">_n) is an estimation term vanishing with calibration data size. In particular, lowering the acceptance threshold reduces accepted risk at the expense of coverage.</w:t>
      </w:r>
    </w:p>
    <w:p>
      <w:pPr>
        <w:pStyle w:val="BodyText"/>
      </w:pPr>
      <w:r>
        <w:t xml:space="preserve">This theorem formalizes the key intuition:</w:t>
      </w:r>
      <w:r>
        <w:t xml:space="preserve"> </w:t>
      </w:r>
      <w:r>
        <w:rPr>
          <w:b/>
          <w:bCs/>
        </w:rPr>
        <w:t xml:space="preserve">thresholding a physics-aware reliability score yields controllable accepted risk</w:t>
      </w:r>
      <w:r>
        <w:t xml:space="preserve">.</w:t>
      </w:r>
    </w:p>
    <w:bookmarkEnd w:id="58"/>
    <w:bookmarkStart w:id="59" w:name="localized-version"/>
    <w:p>
      <w:pPr>
        <w:pStyle w:val="Heading3"/>
      </w:pPr>
      <w:r>
        <w:t xml:space="preserve">5.4 Localized version</w:t>
      </w:r>
    </w:p>
    <w:p>
      <w:pPr>
        <w:pStyle w:val="FirstParagraph"/>
      </w:pPr>
      <w:r>
        <w:t xml:space="preserve">For local masks, an analogous result can be stated over accepted measure on (</w:t>
      </w:r>
      <w:r>
        <w:t xml:space="preserve">):</w:t>
      </w:r>
      <w:r>
        <w:t xml:space="preserve"> </w:t>
      </w:r>
      <w:r>
        <w:t xml:space="preserve">[</w:t>
      </w:r>
      <w:r>
        <w:t xml:space="preserve"> </w:t>
      </w:r>
      <w:r>
        <w:t xml:space="preserve">(</w:t>
      </w:r>
      <w:r>
        <w:t xml:space="preserve">)</w:t>
      </w:r>
      <w:r>
        <w:t xml:space="preserve"> </w:t>
      </w:r>
      <w:r>
        <w:rPr>
          <w:i/>
          <w:iCs/>
        </w:rPr>
        <w:t xml:space="preserve">{loc}(</w:t>
      </w:r>
      <w:r>
        <w:rPr>
          <w:i/>
          <w:iCs/>
        </w:rPr>
        <w:t xml:space="preserve">) +</w:t>
      </w:r>
      <w:r>
        <w:rPr>
          <w:i/>
          <w:iCs/>
        </w:rPr>
        <w:t xml:space="preserve"> </w:t>
      </w:r>
      <w:r>
        <w:t xml:space="preserve">{n,loc}.</w:t>
      </w:r>
      <w:r>
        <w:t xml:space="preserve"> </w:t>
      </w:r>
      <w:r>
        <w:t xml:space="preserve">]</w:t>
      </w:r>
      <w:r>
        <w:t xml:space="preserve"> </w:t>
      </w:r>
      <w:r>
        <w:t xml:space="preserve">This localized bound is more interesting scientifically, because it speaks directly to regionwise trust in PDE outputs.</w:t>
      </w:r>
    </w:p>
    <w:bookmarkEnd w:id="59"/>
    <w:bookmarkStart w:id="60" w:name="Xf55b9c34ac7ffa2569e48cc5ff6dca177c4459f"/>
    <w:p>
      <w:pPr>
        <w:pStyle w:val="Heading3"/>
      </w:pPr>
      <w:r>
        <w:t xml:space="preserve">5.5 Optional stronger direction: conformal calibration</w:t>
      </w:r>
    </w:p>
    <w:p>
      <w:pPr>
        <w:pStyle w:val="FirstParagraph"/>
      </w:pPr>
      <w:r>
        <w:t xml:space="preserve">A stronger future extension is to calibrate the reject threshold on a held-out set so as to guarantee operator-level or regional accepted-risk control with finite-sample validity under exchangeability assumptions. If successful, this would substantially strengthen the deployment story.</w:t>
      </w:r>
    </w:p>
    <w:p>
      <w:r>
        <w:pict>
          <v:rect style="width:0;height:1.5pt" o:hralign="center" o:hrstd="t" o:hr="t"/>
        </w:pict>
      </w:r>
    </w:p>
    <w:bookmarkEnd w:id="60"/>
    <w:bookmarkEnd w:id="61"/>
    <w:bookmarkStart w:id="66" w:name="application-to-cardiac-electrophysiology"/>
    <w:p>
      <w:pPr>
        <w:pStyle w:val="Heading2"/>
      </w:pPr>
      <w:r>
        <w:t xml:space="preserve">6. Application to Cardiac Electrophysiology</w:t>
      </w:r>
    </w:p>
    <w:bookmarkStart w:id="62" w:name="why-cardiac-ep-is-the-right-first-domain"/>
    <w:p>
      <w:pPr>
        <w:pStyle w:val="Heading3"/>
      </w:pPr>
      <w:r>
        <w:t xml:space="preserve">6.1 Why cardiac EP is the right first domain</w:t>
      </w:r>
    </w:p>
    <w:p>
      <w:pPr>
        <w:pStyle w:val="FirstParagraph"/>
      </w:pPr>
      <w:r>
        <w:t xml:space="preserve">Cardiac electrophysiology is an ideal test bed because:</w:t>
      </w:r>
      <w:r>
        <w:t xml:space="preserve"> </w:t>
      </w:r>
      <w:r>
        <w:t xml:space="preserve">- it is strongly physics-based,</w:t>
      </w:r>
      <w:r>
        <w:t xml:space="preserve"> </w:t>
      </w:r>
      <w:r>
        <w:t xml:space="preserve">- wave propagation dynamics exhibit both stable and unstable regimes,</w:t>
      </w:r>
      <w:r>
        <w:t xml:space="preserve"> </w:t>
      </w:r>
      <w:r>
        <w:t xml:space="preserve">- local errors matter clinically,</w:t>
      </w:r>
      <w:r>
        <w:t xml:space="preserve"> </w:t>
      </w:r>
      <w:r>
        <w:t xml:space="preserve">- and surrogate speed is valuable for digital twin deployment.</w:t>
      </w:r>
    </w:p>
    <w:p>
      <w:pPr>
        <w:pStyle w:val="BodyText"/>
      </w:pPr>
      <w:r>
        <w:t xml:space="preserve">Furthermore, local unreliability is natural in EP. A model may predict well over quiescent tissue and broad wavefront propagation but fail near spiral tips, re-entry regions, conduction blocks, and breakup phenomena.</w:t>
      </w:r>
    </w:p>
    <w:bookmarkEnd w:id="62"/>
    <w:bookmarkStart w:id="63" w:name="pde-setting"/>
    <w:p>
      <w:pPr>
        <w:pStyle w:val="Heading3"/>
      </w:pPr>
      <w:r>
        <w:t xml:space="preserve">6.2 PDE setting</w:t>
      </w:r>
    </w:p>
    <w:p>
      <w:pPr>
        <w:pStyle w:val="FirstParagraph"/>
      </w:pPr>
      <w:r>
        <w:t xml:space="preserve">We consider reaction-diffusion electrophysiology models such as Aliev–Panfilov or monodomain-based approximations. Inputs include:</w:t>
      </w:r>
      <w:r>
        <w:t xml:space="preserve"> </w:t>
      </w:r>
      <w:r>
        <w:t xml:space="preserve">- tissue geometry,</w:t>
      </w:r>
      <w:r>
        <w:t xml:space="preserve"> </w:t>
      </w:r>
      <w:r>
        <w:t xml:space="preserve">- diffusion tensor or conductivity,</w:t>
      </w:r>
      <w:r>
        <w:t xml:space="preserve"> </w:t>
      </w:r>
      <w:r>
        <w:t xml:space="preserve">- stimulation patterns,</w:t>
      </w:r>
      <w:r>
        <w:t xml:space="preserve"> </w:t>
      </w:r>
      <w:r>
        <w:t xml:space="preserve">- cell model parameters,</w:t>
      </w:r>
      <w:r>
        <w:t xml:space="preserve"> </w:t>
      </w:r>
      <w:r>
        <w:t xml:space="preserve">- and initial state.</w:t>
      </w:r>
    </w:p>
    <w:p>
      <w:pPr>
        <w:pStyle w:val="BodyText"/>
      </w:pPr>
      <w:r>
        <w:t xml:space="preserve">Outputs are spatiotemporal voltage fields and auxiliary state trajectories.</w:t>
      </w:r>
    </w:p>
    <w:bookmarkEnd w:id="63"/>
    <w:bookmarkStart w:id="64" w:name="domain-specific-reject-features"/>
    <w:p>
      <w:pPr>
        <w:pStyle w:val="Heading3"/>
      </w:pPr>
      <w:r>
        <w:t xml:space="preserve">6.3 Domain-specific reject features</w:t>
      </w:r>
    </w:p>
    <w:p>
      <w:pPr>
        <w:pStyle w:val="FirstParagraph"/>
      </w:pPr>
      <w:r>
        <w:t xml:space="preserve">Cardiac-specific reject signals can include:</w:t>
      </w:r>
      <w:r>
        <w:t xml:space="preserve"> </w:t>
      </w:r>
      <w:r>
        <w:t xml:space="preserve">- local PDE residual,</w:t>
      </w:r>
      <w:r>
        <w:t xml:space="preserve"> </w:t>
      </w:r>
      <w:r>
        <w:t xml:space="preserve">- conduction velocity inconsistency,</w:t>
      </w:r>
      <w:r>
        <w:t xml:space="preserve"> </w:t>
      </w:r>
      <w:r>
        <w:t xml:space="preserve">- action-potential morphology mismatch,</w:t>
      </w:r>
      <w:r>
        <w:t xml:space="preserve"> </w:t>
      </w:r>
      <w:r>
        <w:t xml:space="preserve">- spiral-core localization instability,</w:t>
      </w:r>
      <w:r>
        <w:t xml:space="preserve"> </w:t>
      </w:r>
      <w:r>
        <w:t xml:space="preserve">- activation-time error proxies,</w:t>
      </w:r>
      <w:r>
        <w:t xml:space="preserve"> </w:t>
      </w:r>
      <w:r>
        <w:t xml:space="preserve">- late-rollout drift,</w:t>
      </w:r>
      <w:r>
        <w:t xml:space="preserve"> </w:t>
      </w:r>
      <w:r>
        <w:t xml:space="preserve">- and geometry/parameter OOD embeddings.</w:t>
      </w:r>
    </w:p>
    <w:bookmarkEnd w:id="64"/>
    <w:bookmarkStart w:id="65" w:name="defer-strategies-in-ep"/>
    <w:p>
      <w:pPr>
        <w:pStyle w:val="Heading3"/>
      </w:pPr>
      <w:r>
        <w:t xml:space="preserve">6.4 Defer strategies in EP</w:t>
      </w:r>
    </w:p>
    <w:p>
      <w:pPr>
        <w:pStyle w:val="FirstParagraph"/>
      </w:pPr>
      <w:r>
        <w:t xml:space="preserve">Possible fallbacks include:</w:t>
      </w:r>
      <w:r>
        <w:t xml:space="preserve"> </w:t>
      </w:r>
      <w:r>
        <w:t xml:space="preserve">- full openCARP or a trusted numerical solver for rejected cases,</w:t>
      </w:r>
      <w:r>
        <w:t xml:space="preserve"> </w:t>
      </w:r>
      <w:r>
        <w:t xml:space="preserve">- local patch solve around rejected regions,</w:t>
      </w:r>
      <w:r>
        <w:t xml:space="preserve"> </w:t>
      </w:r>
      <w:r>
        <w:t xml:space="preserve">- adaptive meshing refinement,</w:t>
      </w:r>
      <w:r>
        <w:t xml:space="preserve"> </w:t>
      </w:r>
      <w:r>
        <w:t xml:space="preserve">- or a slower but higher-capacity surrogate.</w:t>
      </w:r>
    </w:p>
    <w:p>
      <w:pPr>
        <w:pStyle w:val="BodyText"/>
      </w:pPr>
      <w:r>
        <w:t xml:space="preserve">The localized defer setting is especially compelling here because a fast hybrid pipeline could accurately simulate easy tissue regions while invoking computation only near difficult arrhythmic structures.</w:t>
      </w:r>
    </w:p>
    <w:p>
      <w:r>
        <w:pict>
          <v:rect style="width:0;height:1.5pt" o:hralign="center" o:hrstd="t" o:hr="t"/>
        </w:pict>
      </w:r>
    </w:p>
    <w:bookmarkEnd w:id="65"/>
    <w:bookmarkEnd w:id="66"/>
    <w:bookmarkStart w:id="91" w:name="experimental-design"/>
    <w:p>
      <w:pPr>
        <w:pStyle w:val="Heading2"/>
      </w:pPr>
      <w:r>
        <w:t xml:space="preserve">7. Experimental Design</w:t>
      </w:r>
    </w:p>
    <w:bookmarkStart w:id="67" w:name="main-hypotheses"/>
    <w:p>
      <w:pPr>
        <w:pStyle w:val="Heading3"/>
      </w:pPr>
      <w:r>
        <w:t xml:space="preserve">7.1 Main hypotheses</w:t>
      </w:r>
    </w:p>
    <w:p>
      <w:pPr>
        <w:pStyle w:val="FirstParagraph"/>
      </w:pPr>
      <w:r>
        <w:t xml:space="preserve">We test the following hypotheses.</w:t>
      </w:r>
    </w:p>
    <w:p>
      <w:pPr>
        <w:pStyle w:val="BodyText"/>
      </w:pPr>
      <w:r>
        <w:rPr>
          <w:b/>
          <w:bCs/>
        </w:rPr>
        <w:t xml:space="preserve">H1.</w:t>
      </w:r>
      <w:r>
        <w:t xml:space="preserve"> </w:t>
      </w:r>
      <w:r>
        <w:t xml:space="preserve">SPINO improves the risk-coverage trade-off over uncertainty-only and residual-only rejection baselines.</w:t>
      </w:r>
    </w:p>
    <w:p>
      <w:pPr>
        <w:pStyle w:val="BodyText"/>
      </w:pPr>
      <w:r>
        <w:rPr>
          <w:b/>
          <w:bCs/>
        </w:rPr>
        <w:t xml:space="preserve">H2.</w:t>
      </w:r>
      <w:r>
        <w:t xml:space="preserve"> </w:t>
      </w:r>
      <w:r>
        <w:t xml:space="preserve">Localized defer outperforms global defer under equal fallback budget because it preserves coverage on easy regions.</w:t>
      </w:r>
    </w:p>
    <w:p>
      <w:pPr>
        <w:pStyle w:val="BodyText"/>
      </w:pPr>
      <w:r>
        <w:rPr>
          <w:b/>
          <w:bCs/>
        </w:rPr>
        <w:t xml:space="preserve">H3.</w:t>
      </w:r>
      <w:r>
        <w:t xml:space="preserve"> </w:t>
      </w:r>
      <w:r>
        <w:t xml:space="preserve">Physics-aware rejection is especially helpful under distribution shift: geometry shift, parameter shift, scenario shift, and long rollout.</w:t>
      </w:r>
    </w:p>
    <w:p>
      <w:pPr>
        <w:pStyle w:val="BodyText"/>
      </w:pPr>
      <w:r>
        <w:rPr>
          <w:b/>
          <w:bCs/>
        </w:rPr>
        <w:t xml:space="preserve">H4.</w:t>
      </w:r>
      <w:r>
        <w:t xml:space="preserve"> </w:t>
      </w:r>
      <w:r>
        <w:t xml:space="preserve">Hybrid defer yields a better compute-risk Pareto frontier than always predicting or always using the full solver.</w:t>
      </w:r>
    </w:p>
    <w:bookmarkEnd w:id="67"/>
    <w:bookmarkStart w:id="71" w:name="datasets-and-simulation-generation"/>
    <w:p>
      <w:pPr>
        <w:pStyle w:val="Heading3"/>
      </w:pPr>
      <w:r>
        <w:t xml:space="preserve">7.2 Datasets and simulation generation</w:t>
      </w:r>
    </w:p>
    <w:p>
      <w:pPr>
        <w:pStyle w:val="FirstParagraph"/>
      </w:pPr>
      <w:r>
        <w:t xml:space="preserve">Start with controlled 2D cardiac EP scenarios, then scale to more realistic settings.</w:t>
      </w:r>
    </w:p>
    <w:bookmarkStart w:id="68" w:name="X9071531315fcee5e02856b3f710106e44ad8669"/>
    <w:p>
      <w:pPr>
        <w:pStyle w:val="Heading4"/>
      </w:pPr>
      <w:r>
        <w:t xml:space="preserve">Phase 1: Controlled synthetic EP benchmark</w:t>
      </w:r>
    </w:p>
    <w:p>
      <w:pPr>
        <w:pStyle w:val="Compact"/>
        <w:numPr>
          <w:ilvl w:val="0"/>
          <w:numId w:val="1007"/>
        </w:numPr>
      </w:pPr>
      <w:r>
        <w:t xml:space="preserve">planar wave,</w:t>
      </w:r>
    </w:p>
    <w:p>
      <w:pPr>
        <w:pStyle w:val="Compact"/>
        <w:numPr>
          <w:ilvl w:val="0"/>
          <w:numId w:val="1007"/>
        </w:numPr>
      </w:pPr>
      <w:r>
        <w:t xml:space="preserve">centrifugal wave,</w:t>
      </w:r>
    </w:p>
    <w:p>
      <w:pPr>
        <w:pStyle w:val="Compact"/>
        <w:numPr>
          <w:ilvl w:val="0"/>
          <w:numId w:val="1007"/>
        </w:numPr>
      </w:pPr>
      <w:r>
        <w:t xml:space="preserve">stable spiral,</w:t>
      </w:r>
    </w:p>
    <w:p>
      <w:pPr>
        <w:pStyle w:val="Compact"/>
        <w:numPr>
          <w:ilvl w:val="0"/>
          <w:numId w:val="1007"/>
        </w:numPr>
      </w:pPr>
      <w:r>
        <w:t xml:space="preserve">spiral breakup,</w:t>
      </w:r>
    </w:p>
    <w:p>
      <w:pPr>
        <w:pStyle w:val="Compact"/>
        <w:numPr>
          <w:ilvl w:val="0"/>
          <w:numId w:val="1007"/>
        </w:numPr>
      </w:pPr>
      <w:r>
        <w:t xml:space="preserve">parameter sweeps over excitability and restitution,</w:t>
      </w:r>
    </w:p>
    <w:p>
      <w:pPr>
        <w:pStyle w:val="Compact"/>
        <w:numPr>
          <w:ilvl w:val="0"/>
          <w:numId w:val="1007"/>
        </w:numPr>
      </w:pPr>
      <w:r>
        <w:t xml:space="preserve">mesh-resolution variation.</w:t>
      </w:r>
    </w:p>
    <w:bookmarkEnd w:id="68"/>
    <w:bookmarkStart w:id="69" w:name="phase-2-shifted-benchmark"/>
    <w:p>
      <w:pPr>
        <w:pStyle w:val="Heading4"/>
      </w:pPr>
      <w:r>
        <w:t xml:space="preserve">Phase 2: Shifted benchmark</w:t>
      </w:r>
    </w:p>
    <w:p>
      <w:pPr>
        <w:pStyle w:val="Compact"/>
        <w:numPr>
          <w:ilvl w:val="0"/>
          <w:numId w:val="1008"/>
        </w:numPr>
      </w:pPr>
      <w:r>
        <w:t xml:space="preserve">unseen geometries,</w:t>
      </w:r>
    </w:p>
    <w:p>
      <w:pPr>
        <w:pStyle w:val="Compact"/>
        <w:numPr>
          <w:ilvl w:val="0"/>
          <w:numId w:val="1008"/>
        </w:numPr>
      </w:pPr>
      <w:r>
        <w:t xml:space="preserve">unseen conductivity maps,</w:t>
      </w:r>
    </w:p>
    <w:p>
      <w:pPr>
        <w:pStyle w:val="Compact"/>
        <w:numPr>
          <w:ilvl w:val="0"/>
          <w:numId w:val="1008"/>
        </w:numPr>
      </w:pPr>
      <w:r>
        <w:t xml:space="preserve">altered stimulation sites,</w:t>
      </w:r>
    </w:p>
    <w:p>
      <w:pPr>
        <w:pStyle w:val="Compact"/>
        <w:numPr>
          <w:ilvl w:val="0"/>
          <w:numId w:val="1008"/>
        </w:numPr>
      </w:pPr>
      <w:r>
        <w:t xml:space="preserve">altered cell model parameters,</w:t>
      </w:r>
    </w:p>
    <w:p>
      <w:pPr>
        <w:pStyle w:val="Compact"/>
        <w:numPr>
          <w:ilvl w:val="0"/>
          <w:numId w:val="1008"/>
        </w:numPr>
      </w:pPr>
      <w:r>
        <w:t xml:space="preserve">noisy/sparse input conditions.</w:t>
      </w:r>
    </w:p>
    <w:bookmarkEnd w:id="69"/>
    <w:bookmarkStart w:id="70" w:name="phase-3-more-realistic-anatomy"/>
    <w:p>
      <w:pPr>
        <w:pStyle w:val="Heading4"/>
      </w:pPr>
      <w:r>
        <w:t xml:space="preserve">Phase 3: More realistic anatomy</w:t>
      </w:r>
    </w:p>
    <w:p>
      <w:pPr>
        <w:pStyle w:val="Compact"/>
        <w:numPr>
          <w:ilvl w:val="0"/>
          <w:numId w:val="1009"/>
        </w:numPr>
      </w:pPr>
      <w:r>
        <w:t xml:space="preserve">irregular 2D domains,</w:t>
      </w:r>
    </w:p>
    <w:p>
      <w:pPr>
        <w:pStyle w:val="Compact"/>
        <w:numPr>
          <w:ilvl w:val="0"/>
          <w:numId w:val="1009"/>
        </w:numPr>
      </w:pPr>
      <w:r>
        <w:t xml:space="preserve">then 3D anatomically realistic geometries if feasible.</w:t>
      </w:r>
    </w:p>
    <w:bookmarkEnd w:id="70"/>
    <w:bookmarkEnd w:id="71"/>
    <w:bookmarkStart w:id="75" w:name="baselines"/>
    <w:p>
      <w:pPr>
        <w:pStyle w:val="Heading3"/>
      </w:pPr>
      <w:r>
        <w:t xml:space="preserve">7.3 Baselines</w:t>
      </w:r>
    </w:p>
    <w:bookmarkStart w:id="72" w:name="surrogate-baselines"/>
    <w:p>
      <w:pPr>
        <w:pStyle w:val="Heading4"/>
      </w:pPr>
      <w:r>
        <w:t xml:space="preserve">Surrogate baselines</w:t>
      </w:r>
    </w:p>
    <w:p>
      <w:pPr>
        <w:pStyle w:val="Compact"/>
        <w:numPr>
          <w:ilvl w:val="0"/>
          <w:numId w:val="1010"/>
        </w:numPr>
      </w:pPr>
      <w:r>
        <w:t xml:space="preserve">FNO / operator without physics,</w:t>
      </w:r>
    </w:p>
    <w:p>
      <w:pPr>
        <w:pStyle w:val="Compact"/>
        <w:numPr>
          <w:ilvl w:val="0"/>
          <w:numId w:val="1010"/>
        </w:numPr>
      </w:pPr>
      <w:r>
        <w:t xml:space="preserve">PINO backbone without rejection,</w:t>
      </w:r>
    </w:p>
    <w:p>
      <w:pPr>
        <w:pStyle w:val="Compact"/>
        <w:numPr>
          <w:ilvl w:val="0"/>
          <w:numId w:val="1010"/>
        </w:numPr>
      </w:pPr>
      <w:r>
        <w:t xml:space="preserve">geometry-aware neural operator if available.</w:t>
      </w:r>
    </w:p>
    <w:bookmarkEnd w:id="72"/>
    <w:bookmarkStart w:id="73" w:name="rejection-baselines"/>
    <w:p>
      <w:pPr>
        <w:pStyle w:val="Heading4"/>
      </w:pPr>
      <w:r>
        <w:t xml:space="preserve">Rejection baselines</w:t>
      </w:r>
    </w:p>
    <w:p>
      <w:pPr>
        <w:pStyle w:val="Compact"/>
        <w:numPr>
          <w:ilvl w:val="0"/>
          <w:numId w:val="1011"/>
        </w:numPr>
      </w:pPr>
      <w:r>
        <w:t xml:space="preserve">confidence-based thresholding,</w:t>
      </w:r>
    </w:p>
    <w:p>
      <w:pPr>
        <w:pStyle w:val="Compact"/>
        <w:numPr>
          <w:ilvl w:val="0"/>
          <w:numId w:val="1011"/>
        </w:numPr>
      </w:pPr>
      <w:r>
        <w:t xml:space="preserve">ensemble variance thresholding,</w:t>
      </w:r>
    </w:p>
    <w:p>
      <w:pPr>
        <w:pStyle w:val="Compact"/>
        <w:numPr>
          <w:ilvl w:val="0"/>
          <w:numId w:val="1011"/>
        </w:numPr>
      </w:pPr>
      <w:r>
        <w:t xml:space="preserve">MC-dropout thresholding,</w:t>
      </w:r>
    </w:p>
    <w:p>
      <w:pPr>
        <w:pStyle w:val="Compact"/>
        <w:numPr>
          <w:ilvl w:val="0"/>
          <w:numId w:val="1011"/>
        </w:numPr>
      </w:pPr>
      <w:r>
        <w:t xml:space="preserve">PDE residual thresholding,</w:t>
      </w:r>
    </w:p>
    <w:p>
      <w:pPr>
        <w:pStyle w:val="Compact"/>
        <w:numPr>
          <w:ilvl w:val="0"/>
          <w:numId w:val="1011"/>
        </w:numPr>
      </w:pPr>
      <w:r>
        <w:t xml:space="preserve">OOD embedding thresholding,</w:t>
      </w:r>
    </w:p>
    <w:p>
      <w:pPr>
        <w:pStyle w:val="Compact"/>
        <w:numPr>
          <w:ilvl w:val="0"/>
          <w:numId w:val="1011"/>
        </w:numPr>
      </w:pPr>
      <w:r>
        <w:t xml:space="preserve">post-hoc classifier on error,</w:t>
      </w:r>
    </w:p>
    <w:p>
      <w:pPr>
        <w:pStyle w:val="Compact"/>
        <w:numPr>
          <w:ilvl w:val="0"/>
          <w:numId w:val="1011"/>
        </w:numPr>
      </w:pPr>
      <w:r>
        <w:t xml:space="preserve">oracle rejector upper bound.</w:t>
      </w:r>
    </w:p>
    <w:bookmarkEnd w:id="73"/>
    <w:bookmarkStart w:id="74" w:name="defer-baselines"/>
    <w:p>
      <w:pPr>
        <w:pStyle w:val="Heading4"/>
      </w:pPr>
      <w:r>
        <w:t xml:space="preserve">Defer baselines</w:t>
      </w:r>
    </w:p>
    <w:p>
      <w:pPr>
        <w:pStyle w:val="Compact"/>
        <w:numPr>
          <w:ilvl w:val="0"/>
          <w:numId w:val="1012"/>
        </w:numPr>
      </w:pPr>
      <w:r>
        <w:t xml:space="preserve">always predict,</w:t>
      </w:r>
    </w:p>
    <w:p>
      <w:pPr>
        <w:pStyle w:val="Compact"/>
        <w:numPr>
          <w:ilvl w:val="0"/>
          <w:numId w:val="1012"/>
        </w:numPr>
      </w:pPr>
      <w:r>
        <w:t xml:space="preserve">always defer,</w:t>
      </w:r>
    </w:p>
    <w:p>
      <w:pPr>
        <w:pStyle w:val="Compact"/>
        <w:numPr>
          <w:ilvl w:val="0"/>
          <w:numId w:val="1012"/>
        </w:numPr>
      </w:pPr>
      <w:r>
        <w:t xml:space="preserve">global reject only,</w:t>
      </w:r>
    </w:p>
    <w:p>
      <w:pPr>
        <w:pStyle w:val="Compact"/>
        <w:numPr>
          <w:ilvl w:val="0"/>
          <w:numId w:val="1012"/>
        </w:numPr>
      </w:pPr>
      <w:r>
        <w:t xml:space="preserve">local reject only,</w:t>
      </w:r>
    </w:p>
    <w:p>
      <w:pPr>
        <w:pStyle w:val="Compact"/>
        <w:numPr>
          <w:ilvl w:val="0"/>
          <w:numId w:val="1012"/>
        </w:numPr>
      </w:pPr>
      <w:r>
        <w:t xml:space="preserve">multi-fidelity routing.</w:t>
      </w:r>
    </w:p>
    <w:bookmarkEnd w:id="74"/>
    <w:bookmarkEnd w:id="75"/>
    <w:bookmarkStart w:id="80" w:name="evaluation-metrics"/>
    <w:p>
      <w:pPr>
        <w:pStyle w:val="Heading3"/>
      </w:pPr>
      <w:r>
        <w:t xml:space="preserve">7.4 Evaluation metrics</w:t>
      </w:r>
    </w:p>
    <w:bookmarkStart w:id="76" w:name="prediction-quality"/>
    <w:p>
      <w:pPr>
        <w:pStyle w:val="Heading4"/>
      </w:pPr>
      <w:r>
        <w:t xml:space="preserve">Prediction quality</w:t>
      </w:r>
    </w:p>
    <w:p>
      <w:pPr>
        <w:pStyle w:val="Compact"/>
        <w:numPr>
          <w:ilvl w:val="0"/>
          <w:numId w:val="1013"/>
        </w:numPr>
      </w:pPr>
      <w:r>
        <w:t xml:space="preserve">RMSE / relative RMSE,</w:t>
      </w:r>
    </w:p>
    <w:p>
      <w:pPr>
        <w:pStyle w:val="Compact"/>
        <w:numPr>
          <w:ilvl w:val="0"/>
          <w:numId w:val="1013"/>
        </w:numPr>
      </w:pPr>
      <w:r>
        <w:t xml:space="preserve">MAE,</w:t>
      </w:r>
    </w:p>
    <w:p>
      <w:pPr>
        <w:pStyle w:val="Compact"/>
        <w:numPr>
          <w:ilvl w:val="0"/>
          <w:numId w:val="1013"/>
        </w:numPr>
      </w:pPr>
      <w:r>
        <w:t xml:space="preserve">rollout error over time,</w:t>
      </w:r>
    </w:p>
    <w:p>
      <w:pPr>
        <w:pStyle w:val="Compact"/>
        <w:numPr>
          <w:ilvl w:val="0"/>
          <w:numId w:val="1013"/>
        </w:numPr>
      </w:pPr>
      <w:r>
        <w:t xml:space="preserve">activation-time error,</w:t>
      </w:r>
    </w:p>
    <w:p>
      <w:pPr>
        <w:pStyle w:val="Compact"/>
        <w:numPr>
          <w:ilvl w:val="0"/>
          <w:numId w:val="1013"/>
        </w:numPr>
      </w:pPr>
      <w:r>
        <w:t xml:space="preserve">conduction velocity error,</w:t>
      </w:r>
    </w:p>
    <w:p>
      <w:pPr>
        <w:pStyle w:val="Compact"/>
        <w:numPr>
          <w:ilvl w:val="0"/>
          <w:numId w:val="1013"/>
        </w:numPr>
      </w:pPr>
      <w:r>
        <w:t xml:space="preserve">event-specific metrics for spiral or breakup dynamics.</w:t>
      </w:r>
    </w:p>
    <w:bookmarkEnd w:id="76"/>
    <w:bookmarkStart w:id="77" w:name="selective-metrics"/>
    <w:p>
      <w:pPr>
        <w:pStyle w:val="Heading4"/>
      </w:pPr>
      <w:r>
        <w:t xml:space="preserve">Selective metrics</w:t>
      </w:r>
    </w:p>
    <w:p>
      <w:pPr>
        <w:pStyle w:val="Compact"/>
        <w:numPr>
          <w:ilvl w:val="0"/>
          <w:numId w:val="1014"/>
        </w:numPr>
      </w:pPr>
      <w:r>
        <w:t xml:space="preserve">global coverage,</w:t>
      </w:r>
    </w:p>
    <w:p>
      <w:pPr>
        <w:pStyle w:val="Compact"/>
        <w:numPr>
          <w:ilvl w:val="0"/>
          <w:numId w:val="1014"/>
        </w:numPr>
      </w:pPr>
      <w:r>
        <w:t xml:space="preserve">localized coverage,</w:t>
      </w:r>
    </w:p>
    <w:p>
      <w:pPr>
        <w:pStyle w:val="Compact"/>
        <w:numPr>
          <w:ilvl w:val="0"/>
          <w:numId w:val="1014"/>
        </w:numPr>
      </w:pPr>
      <w:r>
        <w:t xml:space="preserve">selective risk,</w:t>
      </w:r>
    </w:p>
    <w:p>
      <w:pPr>
        <w:pStyle w:val="Compact"/>
        <w:numPr>
          <w:ilvl w:val="0"/>
          <w:numId w:val="1014"/>
        </w:numPr>
      </w:pPr>
      <w:r>
        <w:t xml:space="preserve">localized selective risk,</w:t>
      </w:r>
    </w:p>
    <w:p>
      <w:pPr>
        <w:pStyle w:val="Compact"/>
        <w:numPr>
          <w:ilvl w:val="0"/>
          <w:numId w:val="1014"/>
        </w:numPr>
      </w:pPr>
      <w:r>
        <w:t xml:space="preserve">area under risk-coverage curve,</w:t>
      </w:r>
    </w:p>
    <w:p>
      <w:pPr>
        <w:pStyle w:val="Compact"/>
        <w:numPr>
          <w:ilvl w:val="0"/>
          <w:numId w:val="1014"/>
        </w:numPr>
      </w:pPr>
      <w:r>
        <w:t xml:space="preserve">coverage at target accepted risk,</w:t>
      </w:r>
    </w:p>
    <w:p>
      <w:pPr>
        <w:pStyle w:val="Compact"/>
        <w:numPr>
          <w:ilvl w:val="0"/>
          <w:numId w:val="1014"/>
        </w:numPr>
      </w:pPr>
      <w:r>
        <w:t xml:space="preserve">accepted-error calibration.</w:t>
      </w:r>
    </w:p>
    <w:bookmarkEnd w:id="77"/>
    <w:bookmarkStart w:id="78" w:name="physics-metrics"/>
    <w:p>
      <w:pPr>
        <w:pStyle w:val="Heading4"/>
      </w:pPr>
      <w:r>
        <w:t xml:space="preserve">Physics metrics</w:t>
      </w:r>
    </w:p>
    <w:p>
      <w:pPr>
        <w:pStyle w:val="Compact"/>
        <w:numPr>
          <w:ilvl w:val="0"/>
          <w:numId w:val="1015"/>
        </w:numPr>
      </w:pPr>
      <w:r>
        <w:t xml:space="preserve">PDE residual norm,</w:t>
      </w:r>
    </w:p>
    <w:p>
      <w:pPr>
        <w:pStyle w:val="Compact"/>
        <w:numPr>
          <w:ilvl w:val="0"/>
          <w:numId w:val="1015"/>
        </w:numPr>
      </w:pPr>
      <w:r>
        <w:t xml:space="preserve">boundary mismatch,</w:t>
      </w:r>
    </w:p>
    <w:p>
      <w:pPr>
        <w:pStyle w:val="Compact"/>
        <w:numPr>
          <w:ilvl w:val="0"/>
          <w:numId w:val="1015"/>
        </w:numPr>
      </w:pPr>
      <w:r>
        <w:t xml:space="preserve">rollout stability score.</w:t>
      </w:r>
    </w:p>
    <w:bookmarkEnd w:id="78"/>
    <w:bookmarkStart w:id="79" w:name="efficiency-metrics"/>
    <w:p>
      <w:pPr>
        <w:pStyle w:val="Heading4"/>
      </w:pPr>
      <w:r>
        <w:t xml:space="preserve">Efficiency metrics</w:t>
      </w:r>
    </w:p>
    <w:p>
      <w:pPr>
        <w:pStyle w:val="Compact"/>
        <w:numPr>
          <w:ilvl w:val="0"/>
          <w:numId w:val="1016"/>
        </w:numPr>
      </w:pPr>
      <w:r>
        <w:t xml:space="preserve">average inference time,</w:t>
      </w:r>
    </w:p>
    <w:p>
      <w:pPr>
        <w:pStyle w:val="Compact"/>
        <w:numPr>
          <w:ilvl w:val="0"/>
          <w:numId w:val="1016"/>
        </w:numPr>
      </w:pPr>
      <w:r>
        <w:t xml:space="preserve">fraction deferred,</w:t>
      </w:r>
    </w:p>
    <w:p>
      <w:pPr>
        <w:pStyle w:val="Compact"/>
        <w:numPr>
          <w:ilvl w:val="0"/>
          <w:numId w:val="1016"/>
        </w:numPr>
      </w:pPr>
      <w:r>
        <w:t xml:space="preserve">wall-clock latency of hybrid pipeline,</w:t>
      </w:r>
    </w:p>
    <w:p>
      <w:pPr>
        <w:pStyle w:val="Compact"/>
        <w:numPr>
          <w:ilvl w:val="0"/>
          <w:numId w:val="1016"/>
        </w:numPr>
      </w:pPr>
      <w:r>
        <w:t xml:space="preserve">compute-normalized accepted accuracy.</w:t>
      </w:r>
    </w:p>
    <w:bookmarkEnd w:id="79"/>
    <w:bookmarkEnd w:id="80"/>
    <w:bookmarkStart w:id="87" w:name="shift-protocols"/>
    <w:p>
      <w:pPr>
        <w:pStyle w:val="Heading3"/>
      </w:pPr>
      <w:r>
        <w:t xml:space="preserve">7.5 Shift protocols</w:t>
      </w:r>
    </w:p>
    <w:p>
      <w:pPr>
        <w:pStyle w:val="FirstParagraph"/>
      </w:pPr>
      <w:r>
        <w:t xml:space="preserve">This part is crucial for NeurIPS quality.</w:t>
      </w:r>
    </w:p>
    <w:bookmarkStart w:id="81" w:name="in-distribution"/>
    <w:p>
      <w:pPr>
        <w:pStyle w:val="Heading4"/>
      </w:pPr>
      <w:r>
        <w:t xml:space="preserve">In-distribution</w:t>
      </w:r>
    </w:p>
    <w:p>
      <w:pPr>
        <w:pStyle w:val="FirstParagraph"/>
      </w:pPr>
      <w:r>
        <w:t xml:space="preserve">Standard train/test split within the same regime.</w:t>
      </w:r>
    </w:p>
    <w:bookmarkEnd w:id="81"/>
    <w:bookmarkStart w:id="82" w:name="parameter-shift"/>
    <w:p>
      <w:pPr>
        <w:pStyle w:val="Heading4"/>
      </w:pPr>
      <w:r>
        <w:t xml:space="preserve">Parameter shift</w:t>
      </w:r>
    </w:p>
    <w:p>
      <w:pPr>
        <w:pStyle w:val="FirstParagraph"/>
      </w:pPr>
      <w:r>
        <w:t xml:space="preserve">Change excitability, diffusion, restitution, or conductivity.</w:t>
      </w:r>
    </w:p>
    <w:bookmarkEnd w:id="82"/>
    <w:bookmarkStart w:id="83" w:name="geometry-shift"/>
    <w:p>
      <w:pPr>
        <w:pStyle w:val="Heading4"/>
      </w:pPr>
      <w:r>
        <w:t xml:space="preserve">Geometry shift</w:t>
      </w:r>
    </w:p>
    <w:p>
      <w:pPr>
        <w:pStyle w:val="FirstParagraph"/>
      </w:pPr>
      <w:r>
        <w:t xml:space="preserve">Test on held-out anatomies or meshes.</w:t>
      </w:r>
    </w:p>
    <w:bookmarkEnd w:id="83"/>
    <w:bookmarkStart w:id="84" w:name="resolution-shift"/>
    <w:p>
      <w:pPr>
        <w:pStyle w:val="Heading4"/>
      </w:pPr>
      <w:r>
        <w:t xml:space="preserve">Resolution shift</w:t>
      </w:r>
    </w:p>
    <w:p>
      <w:pPr>
        <w:pStyle w:val="FirstParagraph"/>
      </w:pPr>
      <w:r>
        <w:t xml:space="preserve">Train coarse, test fine.</w:t>
      </w:r>
    </w:p>
    <w:bookmarkEnd w:id="84"/>
    <w:bookmarkStart w:id="85" w:name="scenario-shift"/>
    <w:p>
      <w:pPr>
        <w:pStyle w:val="Heading4"/>
      </w:pPr>
      <w:r>
        <w:t xml:space="preserve">Scenario shift</w:t>
      </w:r>
    </w:p>
    <w:p>
      <w:pPr>
        <w:pStyle w:val="FirstParagraph"/>
      </w:pPr>
      <w:r>
        <w:t xml:space="preserve">Train on simpler propagation patterns, test on more complex ones.</w:t>
      </w:r>
    </w:p>
    <w:bookmarkEnd w:id="85"/>
    <w:bookmarkStart w:id="86" w:name="long-horizon-rollout-shift"/>
    <w:p>
      <w:pPr>
        <w:pStyle w:val="Heading4"/>
      </w:pPr>
      <w:r>
        <w:t xml:space="preserve">Long-horizon rollout shift</w:t>
      </w:r>
    </w:p>
    <w:p>
      <w:pPr>
        <w:pStyle w:val="FirstParagraph"/>
      </w:pPr>
      <w:r>
        <w:t xml:space="preserve">Train short horizon, test long rollout.</w:t>
      </w:r>
    </w:p>
    <w:bookmarkEnd w:id="86"/>
    <w:bookmarkEnd w:id="87"/>
    <w:bookmarkStart w:id="88" w:name="core-figures"/>
    <w:p>
      <w:pPr>
        <w:pStyle w:val="Heading3"/>
      </w:pPr>
      <w:r>
        <w:t xml:space="preserve">7.6 Core figures</w:t>
      </w:r>
    </w:p>
    <w:p>
      <w:pPr>
        <w:pStyle w:val="Compact"/>
        <w:numPr>
          <w:ilvl w:val="0"/>
          <w:numId w:val="1017"/>
        </w:numPr>
      </w:pPr>
      <w:r>
        <w:rPr>
          <w:b/>
          <w:bCs/>
        </w:rPr>
        <w:t xml:space="preserve">Framework figure</w:t>
      </w:r>
      <w:r>
        <w:t xml:space="preserve">: operator + rejector + local defer pipeline.</w:t>
      </w:r>
    </w:p>
    <w:p>
      <w:pPr>
        <w:pStyle w:val="Compact"/>
        <w:numPr>
          <w:ilvl w:val="0"/>
          <w:numId w:val="1017"/>
        </w:numPr>
      </w:pPr>
      <w:r>
        <w:rPr>
          <w:b/>
          <w:bCs/>
        </w:rPr>
        <w:t xml:space="preserve">Risk-coverage curves</w:t>
      </w:r>
      <w:r>
        <w:t xml:space="preserve">: SPINO vs baselines.</w:t>
      </w:r>
    </w:p>
    <w:p>
      <w:pPr>
        <w:pStyle w:val="Compact"/>
        <w:numPr>
          <w:ilvl w:val="0"/>
          <w:numId w:val="1017"/>
        </w:numPr>
      </w:pPr>
      <w:r>
        <w:rPr>
          <w:b/>
          <w:bCs/>
        </w:rPr>
        <w:t xml:space="preserve">Compute-risk Pareto</w:t>
      </w:r>
      <w:r>
        <w:t xml:space="preserve">: always predict vs always defer vs hybrid.</w:t>
      </w:r>
    </w:p>
    <w:p>
      <w:pPr>
        <w:pStyle w:val="Compact"/>
        <w:numPr>
          <w:ilvl w:val="0"/>
          <w:numId w:val="1017"/>
        </w:numPr>
      </w:pPr>
      <w:r>
        <w:rPr>
          <w:b/>
          <w:bCs/>
        </w:rPr>
        <w:t xml:space="preserve">Qualitative local mask figure</w:t>
      </w:r>
      <w:r>
        <w:t xml:space="preserve">: accepted vs rejected regions over voltage fields.</w:t>
      </w:r>
    </w:p>
    <w:p>
      <w:pPr>
        <w:pStyle w:val="Compact"/>
        <w:numPr>
          <w:ilvl w:val="0"/>
          <w:numId w:val="1017"/>
        </w:numPr>
      </w:pPr>
      <w:r>
        <w:rPr>
          <w:b/>
          <w:bCs/>
        </w:rPr>
        <w:t xml:space="preserve">Shift robustness figure</w:t>
      </w:r>
      <w:r>
        <w:t xml:space="preserve">: performance under geometry/parameter/scenario shift.</w:t>
      </w:r>
    </w:p>
    <w:p>
      <w:pPr>
        <w:pStyle w:val="Compact"/>
        <w:numPr>
          <w:ilvl w:val="0"/>
          <w:numId w:val="1017"/>
        </w:numPr>
      </w:pPr>
      <w:r>
        <w:rPr>
          <w:b/>
          <w:bCs/>
        </w:rPr>
        <w:t xml:space="preserve">Rollout stability figure</w:t>
      </w:r>
      <w:r>
        <w:t xml:space="preserve">: accepted error over time.</w:t>
      </w:r>
    </w:p>
    <w:bookmarkEnd w:id="88"/>
    <w:bookmarkStart w:id="89" w:name="core-tables"/>
    <w:p>
      <w:pPr>
        <w:pStyle w:val="Heading3"/>
      </w:pPr>
      <w:r>
        <w:t xml:space="preserve">7.7 Core tables</w:t>
      </w:r>
    </w:p>
    <w:p>
      <w:pPr>
        <w:pStyle w:val="FirstParagraph"/>
      </w:pPr>
      <w:r>
        <w:rPr>
          <w:b/>
          <w:bCs/>
        </w:rPr>
        <w:t xml:space="preserve">Table 1:</w:t>
      </w:r>
      <w:r>
        <w:t xml:space="preserve"> </w:t>
      </w:r>
      <w:r>
        <w:t xml:space="preserve">Standard predictive metrics for all methods.</w:t>
      </w:r>
    </w:p>
    <w:p>
      <w:pPr>
        <w:pStyle w:val="BodyText"/>
      </w:pPr>
      <w:r>
        <w:rPr>
          <w:b/>
          <w:bCs/>
        </w:rPr>
        <w:t xml:space="preserve">Table 2:</w:t>
      </w:r>
      <w:r>
        <w:t xml:space="preserve"> </w:t>
      </w:r>
      <w:r>
        <w:t xml:space="preserve">Selective metrics at matched coverage or matched accepted risk.</w:t>
      </w:r>
    </w:p>
    <w:p>
      <w:pPr>
        <w:pStyle w:val="BodyText"/>
      </w:pPr>
      <w:r>
        <w:rPr>
          <w:b/>
          <w:bCs/>
        </w:rPr>
        <w:t xml:space="preserve">Table 3:</w:t>
      </w:r>
      <w:r>
        <w:t xml:space="preserve"> </w:t>
      </w:r>
      <w:r>
        <w:t xml:space="preserve">Compute-risk comparison of global and local defer.</w:t>
      </w:r>
    </w:p>
    <w:p>
      <w:pPr>
        <w:pStyle w:val="BodyText"/>
      </w:pPr>
      <w:r>
        <w:rPr>
          <w:b/>
          <w:bCs/>
        </w:rPr>
        <w:t xml:space="preserve">Table 4:</w:t>
      </w:r>
      <w:r>
        <w:t xml:space="preserve"> </w:t>
      </w:r>
      <w:r>
        <w:t xml:space="preserve">Ablation of reject features: uncertainty only, residual only, shift only, joint.</w:t>
      </w:r>
    </w:p>
    <w:p>
      <w:pPr>
        <w:pStyle w:val="BodyText"/>
      </w:pPr>
      <w:r>
        <w:rPr>
          <w:b/>
          <w:bCs/>
        </w:rPr>
        <w:t xml:space="preserve">Table 5:</w:t>
      </w:r>
      <w:r>
        <w:t xml:space="preserve"> </w:t>
      </w:r>
      <w:r>
        <w:t xml:space="preserve">Shift generalization results.</w:t>
      </w:r>
    </w:p>
    <w:bookmarkEnd w:id="89"/>
    <w:bookmarkStart w:id="90" w:name="ablation-studies"/>
    <w:p>
      <w:pPr>
        <w:pStyle w:val="Heading3"/>
      </w:pPr>
      <w:r>
        <w:t xml:space="preserve">7.8 Ablation studies</w:t>
      </w:r>
    </w:p>
    <w:p>
      <w:pPr>
        <w:pStyle w:val="FirstParagraph"/>
      </w:pPr>
      <w:r>
        <w:t xml:space="preserve">Important ablations include:</w:t>
      </w:r>
      <w:r>
        <w:t xml:space="preserve"> </w:t>
      </w:r>
      <w:r>
        <w:t xml:space="preserve">- without physics loss,</w:t>
      </w:r>
      <w:r>
        <w:t xml:space="preserve"> </w:t>
      </w:r>
      <w:r>
        <w:t xml:space="preserve">- without residual features,</w:t>
      </w:r>
      <w:r>
        <w:t xml:space="preserve"> </w:t>
      </w:r>
      <w:r>
        <w:t xml:space="preserve">- without uncertainty features,</w:t>
      </w:r>
      <w:r>
        <w:t xml:space="preserve"> </w:t>
      </w:r>
      <w:r>
        <w:t xml:space="preserve">- without shift features,</w:t>
      </w:r>
      <w:r>
        <w:t xml:space="preserve"> </w:t>
      </w:r>
      <w:r>
        <w:t xml:space="preserve">- global vs local rejector,</w:t>
      </w:r>
      <w:r>
        <w:t xml:space="preserve"> </w:t>
      </w:r>
      <w:r>
        <w:t xml:space="preserve">- patchwise vs pixelwise mask,</w:t>
      </w:r>
      <w:r>
        <w:t xml:space="preserve"> </w:t>
      </w:r>
      <w:r>
        <w:t xml:space="preserve">- different fallback mechanisms,</w:t>
      </w:r>
      <w:r>
        <w:t xml:space="preserve"> </w:t>
      </w:r>
      <w:r>
        <w:t xml:space="preserve">- different target coverages,</w:t>
      </w:r>
      <w:r>
        <w:t xml:space="preserve"> </w:t>
      </w:r>
      <w:r>
        <w:t xml:space="preserve">- end-to-end vs two-stage training.</w:t>
      </w:r>
    </w:p>
    <w:p>
      <w:r>
        <w:pict>
          <v:rect style="width:0;height:1.5pt" o:hralign="center" o:hrstd="t" o:hr="t"/>
        </w:pict>
      </w:r>
    </w:p>
    <w:bookmarkEnd w:id="90"/>
    <w:bookmarkEnd w:id="91"/>
    <w:bookmarkStart w:id="94" w:name="algorithm"/>
    <w:p>
      <w:pPr>
        <w:pStyle w:val="Heading2"/>
      </w:pPr>
      <w:r>
        <w:t xml:space="preserve">8. Algorithm</w:t>
      </w:r>
    </w:p>
    <w:bookmarkStart w:id="92" w:name="algorithm-1-training-spino"/>
    <w:p>
      <w:pPr>
        <w:pStyle w:val="Heading3"/>
      </w:pPr>
      <w:r>
        <w:t xml:space="preserve">Algorithm 1: Training SPINO</w:t>
      </w:r>
    </w:p>
    <w:p>
      <w:pPr>
        <w:pStyle w:val="FirstParagraph"/>
      </w:pPr>
      <w:r>
        <w:rPr>
          <w:b/>
          <w:bCs/>
        </w:rPr>
        <w:t xml:space="preserve">Input:</w:t>
      </w:r>
      <w:r>
        <w:t xml:space="preserve"> </w:t>
      </w:r>
      <w:r>
        <w:t xml:space="preserve">Training set ({(a_i,u_i)}_{i=1}^N), target coverage (</w:t>
      </w:r>
      <w:r>
        <w:t xml:space="preserve">), fallback module (</w:t>
      </w:r>
      <w:r>
        <w:t xml:space="preserve">H).</w:t>
      </w:r>
    </w:p>
    <w:p>
      <w:pPr>
        <w:pStyle w:val="Compact"/>
        <w:numPr>
          <w:ilvl w:val="0"/>
          <w:numId w:val="1018"/>
        </w:numPr>
      </w:pPr>
      <w:r>
        <w:t xml:space="preserve">Pretrain operator (</w:t>
      </w:r>
      <w:r>
        <w:t xml:space="preserve">G_</w:t>
      </w:r>
      <w:r>
        <w:t xml:space="preserve">) using supervised and physics losses.</w:t>
      </w:r>
    </w:p>
    <w:p>
      <w:pPr>
        <w:pStyle w:val="Compact"/>
        <w:numPr>
          <w:ilvl w:val="0"/>
          <w:numId w:val="1018"/>
        </w:numPr>
      </w:pPr>
      <w:r>
        <w:t xml:space="preserve">For each training sample, compute prediction (</w:t>
      </w:r>
      <w:r>
        <w:t xml:space="preserve">u_i =</w:t>
      </w:r>
      <w:r>
        <w:t xml:space="preserve"> </w:t>
      </w:r>
      <w:r>
        <w:t xml:space="preserve">G_</w:t>
      </w:r>
      <w:r>
        <w:t xml:space="preserve">(a_i)).</w:t>
      </w:r>
    </w:p>
    <w:p>
      <w:pPr>
        <w:pStyle w:val="Compact"/>
        <w:numPr>
          <w:ilvl w:val="0"/>
          <w:numId w:val="1018"/>
        </w:numPr>
      </w:pPr>
      <w:r>
        <w:t xml:space="preserve">Compute reliability targets from true error maps, rollout drift, residual maps, and shift diagnostics.</w:t>
      </w:r>
    </w:p>
    <w:p>
      <w:pPr>
        <w:pStyle w:val="Compact"/>
        <w:numPr>
          <w:ilvl w:val="0"/>
          <w:numId w:val="1018"/>
        </w:numPr>
      </w:pPr>
      <w:r>
        <w:t xml:space="preserve">Train rejector (s_</w:t>
      </w:r>
      <w:r>
        <w:t xml:space="preserve">) to predict unsafe cases/regions from reliability features.</w:t>
      </w:r>
    </w:p>
    <w:p>
      <w:pPr>
        <w:pStyle w:val="Compact"/>
        <w:numPr>
          <w:ilvl w:val="0"/>
          <w:numId w:val="1018"/>
        </w:numPr>
      </w:pPr>
      <w:r>
        <w:t xml:space="preserve">Fine-tune the joint system with coverage regularization and selective objectives.</w:t>
      </w:r>
    </w:p>
    <w:p>
      <w:pPr>
        <w:pStyle w:val="Compact"/>
        <w:numPr>
          <w:ilvl w:val="0"/>
          <w:numId w:val="1018"/>
        </w:numPr>
      </w:pPr>
      <w:r>
        <w:t xml:space="preserve">Optionally simulate hybrid inference with fallback (</w:t>
      </w:r>
      <w:r>
        <w:t xml:space="preserve">H) and optimize compute-risk objective.</w:t>
      </w:r>
    </w:p>
    <w:p>
      <w:pPr>
        <w:pStyle w:val="Compact"/>
        <w:numPr>
          <w:ilvl w:val="0"/>
          <w:numId w:val="1018"/>
        </w:numPr>
      </w:pPr>
      <w:r>
        <w:t xml:space="preserve">Calibrate threshold (</w:t>
      </w:r>
      <w:r>
        <w:t xml:space="preserve">) on a validation set to satisfy a target accepted-risk or target coverage criterion.</w:t>
      </w:r>
    </w:p>
    <w:p>
      <w:pPr>
        <w:pStyle w:val="FirstParagraph"/>
      </w:pPr>
      <w:r>
        <w:rPr>
          <w:b/>
          <w:bCs/>
        </w:rPr>
        <w:t xml:space="preserve">Output:</w:t>
      </w:r>
      <w:r>
        <w:t xml:space="preserve"> </w:t>
      </w:r>
      <w:r>
        <w:t xml:space="preserve">Operator (</w:t>
      </w:r>
      <w:r>
        <w:t xml:space="preserve">G_</w:t>
      </w:r>
      <w:r>
        <w:t xml:space="preserve">), rejector (s_</w:t>
      </w:r>
      <w:r>
        <w:t xml:space="preserve">), threshold (</w:t>
      </w:r>
      <w:r>
        <w:t xml:space="preserve">).</w:t>
      </w:r>
    </w:p>
    <w:bookmarkEnd w:id="92"/>
    <w:bookmarkStart w:id="93" w:name="algorithm-2-hybrid-inference"/>
    <w:p>
      <w:pPr>
        <w:pStyle w:val="Heading3"/>
      </w:pPr>
      <w:r>
        <w:t xml:space="preserve">Algorithm 2: Hybrid inference</w:t>
      </w:r>
    </w:p>
    <w:p>
      <w:pPr>
        <w:pStyle w:val="FirstParagraph"/>
      </w:pPr>
      <w:r>
        <w:rPr>
          <w:b/>
          <w:bCs/>
        </w:rPr>
        <w:t xml:space="preserve">Input:</w:t>
      </w:r>
      <w:r>
        <w:t xml:space="preserve"> </w:t>
      </w:r>
      <w:r>
        <w:t xml:space="preserve">New input (a).</w:t>
      </w:r>
      <w:r>
        <w:t xml:space="preserve"> </w:t>
      </w:r>
      <w:r>
        <w:t xml:space="preserve">1. Compute surrogate prediction (</w:t>
      </w:r>
      <w:r>
        <w:t xml:space="preserve">u =</w:t>
      </w:r>
      <w:r>
        <w:t xml:space="preserve"> </w:t>
      </w:r>
      <w:r>
        <w:t xml:space="preserve">G_</w:t>
      </w:r>
      <w:r>
        <w:t xml:space="preserve">(a)).</w:t>
      </w:r>
      <w:r>
        <w:t xml:space="preserve"> </w:t>
      </w:r>
      <w:r>
        <w:t xml:space="preserve">2. Compute reject score or mask from (s_</w:t>
      </w:r>
      <w:r>
        <w:t xml:space="preserve">(a,</w:t>
      </w:r>
      <w:r>
        <w:t xml:space="preserve">u)).</w:t>
      </w:r>
      <w:r>
        <w:t xml:space="preserve"> </w:t>
      </w:r>
      <w:r>
        <w:t xml:space="preserve">3. Accept low-risk regions and defer high-risk regions to (</w:t>
      </w:r>
      <w:r>
        <w:t xml:space="preserve">H).</w:t>
      </w:r>
      <w:r>
        <w:t xml:space="preserve"> </w:t>
      </w:r>
      <w:r>
        <w:t xml:space="preserve">4. Merge surrogate and fallback outputs into final hybrid prediction (</w:t>
      </w:r>
      <w:r>
        <w:t xml:space="preserve">u).</w:t>
      </w:r>
    </w:p>
    <w:p>
      <w:pPr>
        <w:pStyle w:val="BodyText"/>
      </w:pPr>
      <w:r>
        <w:rPr>
          <w:b/>
          <w:bCs/>
        </w:rPr>
        <w:t xml:space="preserve">Output:</w:t>
      </w:r>
      <w:r>
        <w:t xml:space="preserve"> </w:t>
      </w:r>
      <w:r>
        <w:t xml:space="preserve">Final selective solution (</w:t>
      </w:r>
      <w:r>
        <w:t xml:space="preserve">u), trust mask (M).</w:t>
      </w:r>
    </w:p>
    <w:p>
      <w:r>
        <w:pict>
          <v:rect style="width:0;height:1.5pt" o:hralign="center" o:hrstd="t" o:hr="t"/>
        </w:pict>
      </w:r>
    </w:p>
    <w:bookmarkEnd w:id="93"/>
    <w:bookmarkEnd w:id="94"/>
    <w:bookmarkStart w:id="100" w:name="expected-results-and-scientific-claims"/>
    <w:p>
      <w:pPr>
        <w:pStyle w:val="Heading2"/>
      </w:pPr>
      <w:r>
        <w:t xml:space="preserve">9. Expected Results and Scientific Claims</w:t>
      </w:r>
    </w:p>
    <w:p>
      <w:pPr>
        <w:pStyle w:val="FirstParagraph"/>
      </w:pPr>
      <w:r>
        <w:t xml:space="preserve">If the method works, the full paper should claim the following.</w:t>
      </w:r>
    </w:p>
    <w:bookmarkStart w:id="95" w:name="X41d4ef3320cae968d06f9798ddd478e9681a49d"/>
    <w:p>
      <w:pPr>
        <w:pStyle w:val="Heading3"/>
      </w:pPr>
      <w:r>
        <w:t xml:space="preserve">Claim 1: Selective operator learning improves reliability</w:t>
      </w:r>
    </w:p>
    <w:p>
      <w:pPr>
        <w:pStyle w:val="FirstParagraph"/>
      </w:pPr>
      <w:r>
        <w:t xml:space="preserve">At equal overall compute, SPINO attains lower accepted error than unconditional PINO/FNO baselines by rejecting high-risk predictions.</w:t>
      </w:r>
    </w:p>
    <w:bookmarkEnd w:id="95"/>
    <w:bookmarkStart w:id="96" w:name="X0734fd66a319798508e82117dea2c4148489f36"/>
    <w:p>
      <w:pPr>
        <w:pStyle w:val="Heading3"/>
      </w:pPr>
      <w:r>
        <w:t xml:space="preserve">Claim 2: Physics-aware rejection is better than confidence alone</w:t>
      </w:r>
    </w:p>
    <w:p>
      <w:pPr>
        <w:pStyle w:val="FirstParagraph"/>
      </w:pPr>
      <w:r>
        <w:t xml:space="preserve">Residual-only or confidence-only rejection is insufficient, but their joint use gives a stronger risk-coverage trade-off.</w:t>
      </w:r>
    </w:p>
    <w:bookmarkEnd w:id="96"/>
    <w:bookmarkStart w:id="97" w:name="X7f7c4926ff17c80143dc039715c6af4daa41b7c"/>
    <w:p>
      <w:pPr>
        <w:pStyle w:val="Heading3"/>
      </w:pPr>
      <w:r>
        <w:t xml:space="preserve">Claim 3: Local defer is superior to global defer in structured PDE outputs</w:t>
      </w:r>
    </w:p>
    <w:p>
      <w:pPr>
        <w:pStyle w:val="FirstParagraph"/>
      </w:pPr>
      <w:r>
        <w:t xml:space="preserve">By rejecting only unsafe regions, SPINO maintains higher useful coverage at the same accepted risk.</w:t>
      </w:r>
    </w:p>
    <w:bookmarkEnd w:id="97"/>
    <w:bookmarkStart w:id="98" w:name="X1782a4eef9eb19dcb1cc4209cf2bfe6d54f9a69"/>
    <w:p>
      <w:pPr>
        <w:pStyle w:val="Heading3"/>
      </w:pPr>
      <w:r>
        <w:t xml:space="preserve">Claim 4: Selective simulation is especially valuable under shift</w:t>
      </w:r>
    </w:p>
    <w:p>
      <w:pPr>
        <w:pStyle w:val="FirstParagraph"/>
      </w:pPr>
      <w:r>
        <w:t xml:space="preserve">The performance gap widens under geometry shift, parameter shift, and long rollout, which are the most relevant deployment regimes.</w:t>
      </w:r>
    </w:p>
    <w:bookmarkEnd w:id="98"/>
    <w:bookmarkStart w:id="99" w:name="Xb2477f3d71f04c1bc7092c8e45a837f251bc8a5"/>
    <w:p>
      <w:pPr>
        <w:pStyle w:val="Heading3"/>
      </w:pPr>
      <w:r>
        <w:t xml:space="preserve">Claim 5: Hybrid fallback preserves speed while improving safety</w:t>
      </w:r>
    </w:p>
    <w:p>
      <w:pPr>
        <w:pStyle w:val="FirstParagraph"/>
      </w:pPr>
      <w:r>
        <w:t xml:space="preserve">Compared with always running the solver, SPINO retains much of the neural operator’s speed advantage while significantly reducing catastrophic failure.</w:t>
      </w:r>
    </w:p>
    <w:p>
      <w:r>
        <w:pict>
          <v:rect style="width:0;height:1.5pt" o:hralign="center" o:hrstd="t" o:hr="t"/>
        </w:pict>
      </w:r>
    </w:p>
    <w:bookmarkEnd w:id="99"/>
    <w:bookmarkEnd w:id="100"/>
    <w:bookmarkStart w:id="110" w:name="discussion"/>
    <w:p>
      <w:pPr>
        <w:pStyle w:val="Heading2"/>
      </w:pPr>
      <w:r>
        <w:t xml:space="preserve">10. Discussion</w:t>
      </w:r>
    </w:p>
    <w:bookmarkStart w:id="101" w:name="why-this-is-a-strong-neurips-direction"/>
    <w:p>
      <w:pPr>
        <w:pStyle w:val="Heading3"/>
      </w:pPr>
      <w:r>
        <w:t xml:space="preserve">10.1 Why this is a strong NeurIPS direction</w:t>
      </w:r>
    </w:p>
    <w:p>
      <w:pPr>
        <w:pStyle w:val="FirstParagraph"/>
      </w:pPr>
      <w:r>
        <w:t xml:space="preserve">The idea is not merely</w:t>
      </w:r>
      <w:r>
        <w:t xml:space="preserve"> </w:t>
      </w:r>
      <w:r>
        <w:t xml:space="preserve">“use physics in medicine”</w:t>
      </w:r>
      <w:r>
        <w:t xml:space="preserve"> </w:t>
      </w:r>
      <w:r>
        <w:t xml:space="preserve">or</w:t>
      </w:r>
      <w:r>
        <w:t xml:space="preserve"> </w:t>
      </w:r>
      <w:r>
        <w:t xml:space="preserve">“add a reject head.”</w:t>
      </w:r>
      <w:r>
        <w:t xml:space="preserve"> </w:t>
      </w:r>
      <w:r>
        <w:t xml:space="preserve">The full contribution is a new reliability paradigm for scientific ML:</w:t>
      </w:r>
      <w:r>
        <w:t xml:space="preserve"> </w:t>
      </w:r>
      <w:r>
        <w:rPr>
          <w:b/>
          <w:bCs/>
        </w:rPr>
        <w:t xml:space="preserve">the learned simulator should decide when it is competent to act and when it should defer</w:t>
      </w:r>
      <w:r>
        <w:t xml:space="preserve">. This is especially compelling in biomedicine, where the model’s role is not just approximation but safe assistance.</w:t>
      </w:r>
    </w:p>
    <w:bookmarkEnd w:id="101"/>
    <w:bookmarkStart w:id="102" w:name="what-makes-the-paper-non-trivial"/>
    <w:p>
      <w:pPr>
        <w:pStyle w:val="Heading3"/>
      </w:pPr>
      <w:r>
        <w:t xml:space="preserve">10.2 What makes the paper non-trivial</w:t>
      </w:r>
    </w:p>
    <w:p>
      <w:pPr>
        <w:pStyle w:val="FirstParagraph"/>
      </w:pPr>
      <w:r>
        <w:t xml:space="preserve">The challenging part is not building the surrogate. It is showing that selective trust can be learned in a way that is:</w:t>
      </w:r>
      <w:r>
        <w:t xml:space="preserve"> </w:t>
      </w:r>
      <w:r>
        <w:t xml:space="preserve">- physically meaningful,</w:t>
      </w:r>
      <w:r>
        <w:t xml:space="preserve"> </w:t>
      </w:r>
      <w:r>
        <w:t xml:space="preserve">- operationally useful,</w:t>
      </w:r>
      <w:r>
        <w:t xml:space="preserve"> </w:t>
      </w:r>
      <w:r>
        <w:t xml:space="preserve">- computationally justified,</w:t>
      </w:r>
      <w:r>
        <w:t xml:space="preserve"> </w:t>
      </w:r>
      <w:r>
        <w:t xml:space="preserve">- and scientifically generalizable.</w:t>
      </w:r>
    </w:p>
    <w:bookmarkEnd w:id="102"/>
    <w:bookmarkStart w:id="107" w:name="likely-reviewer-concerns"/>
    <w:p>
      <w:pPr>
        <w:pStyle w:val="Heading3"/>
      </w:pPr>
      <w:r>
        <w:t xml:space="preserve">10.3 Likely reviewer concerns</w:t>
      </w:r>
    </w:p>
    <w:bookmarkStart w:id="103" w:name="X306f78b18551fb1024b86cd98a3f1a27898b537"/>
    <w:p>
      <w:pPr>
        <w:pStyle w:val="Heading4"/>
      </w:pPr>
      <w:r>
        <w:t xml:space="preserve">Concern 1:</w:t>
      </w:r>
      <w:r>
        <w:t xml:space="preserve"> </w:t>
      </w:r>
      <w:r>
        <w:t xml:space="preserve">“This is just uncertainty thresholding.”</w:t>
      </w:r>
    </w:p>
    <w:p>
      <w:pPr>
        <w:pStyle w:val="FirstParagraph"/>
      </w:pPr>
      <w:r>
        <w:t xml:space="preserve">Response: show that physical inconsistency and local residual add signal beyond predictive variance, especially under shift.</w:t>
      </w:r>
    </w:p>
    <w:bookmarkEnd w:id="103"/>
    <w:bookmarkStart w:id="104" w:name="Xa4bced248b17233ba01f7e728832703f36f4867"/>
    <w:p>
      <w:pPr>
        <w:pStyle w:val="Heading4"/>
      </w:pPr>
      <w:r>
        <w:t xml:space="preserve">Concern 2:</w:t>
      </w:r>
      <w:r>
        <w:t xml:space="preserve"> </w:t>
      </w:r>
      <w:r>
        <w:t xml:space="preserve">“Why is this a scientific ML contribution rather than application engineering?”</w:t>
      </w:r>
    </w:p>
    <w:p>
      <w:pPr>
        <w:pStyle w:val="FirstParagraph"/>
      </w:pPr>
      <w:r>
        <w:t xml:space="preserve">Response: the localized selective operator formulation, risk definitions, and residual-aware theory are general beyond cardiac EP.</w:t>
      </w:r>
    </w:p>
    <w:bookmarkEnd w:id="104"/>
    <w:bookmarkStart w:id="105" w:name="Xc5ad61c1836fe3787d8b269d424e7424f566a78"/>
    <w:p>
      <w:pPr>
        <w:pStyle w:val="Heading4"/>
      </w:pPr>
      <w:r>
        <w:t xml:space="preserve">Concern 3:</w:t>
      </w:r>
      <w:r>
        <w:t xml:space="preserve"> </w:t>
      </w:r>
      <w:r>
        <w:t xml:space="preserve">“Residual does not guarantee low true error.”</w:t>
      </w:r>
    </w:p>
    <w:p>
      <w:pPr>
        <w:pStyle w:val="FirstParagraph"/>
      </w:pPr>
      <w:r>
        <w:t xml:space="preserve">Response: explicitly acknowledge this and show empirically that joint residual + uncertainty + shift scoring outperforms each component alone.</w:t>
      </w:r>
    </w:p>
    <w:bookmarkEnd w:id="105"/>
    <w:bookmarkStart w:id="106" w:name="X9ae822dba723b99e63fb9fc803f147d8fec4b1d"/>
    <w:p>
      <w:pPr>
        <w:pStyle w:val="Heading4"/>
      </w:pPr>
      <w:r>
        <w:t xml:space="preserve">Concern 4:</w:t>
      </w:r>
      <w:r>
        <w:t xml:space="preserve"> </w:t>
      </w:r>
      <w:r>
        <w:t xml:space="preserve">“Fallback solver cost is too high.”</w:t>
      </w:r>
    </w:p>
    <w:p>
      <w:pPr>
        <w:pStyle w:val="FirstParagraph"/>
      </w:pPr>
      <w:r>
        <w:t xml:space="preserve">Response: that is precisely why local defer matters; only a small subset of regions should be escalated.</w:t>
      </w:r>
    </w:p>
    <w:bookmarkEnd w:id="106"/>
    <w:bookmarkEnd w:id="107"/>
    <w:bookmarkStart w:id="108" w:name="limitations"/>
    <w:p>
      <w:pPr>
        <w:pStyle w:val="Heading3"/>
      </w:pPr>
      <w:r>
        <w:t xml:space="preserve">10.4 Limitations</w:t>
      </w:r>
    </w:p>
    <w:p>
      <w:pPr>
        <w:pStyle w:val="Compact"/>
        <w:numPr>
          <w:ilvl w:val="0"/>
          <w:numId w:val="1019"/>
        </w:numPr>
      </w:pPr>
      <w:r>
        <w:t xml:space="preserve">Training requires supervised trajectories and a reliable fallback source.</w:t>
      </w:r>
    </w:p>
    <w:p>
      <w:pPr>
        <w:pStyle w:val="Compact"/>
        <w:numPr>
          <w:ilvl w:val="0"/>
          <w:numId w:val="1019"/>
        </w:numPr>
      </w:pPr>
      <w:r>
        <w:t xml:space="preserve">Residual computation may be costly in some PDE families.</w:t>
      </w:r>
    </w:p>
    <w:p>
      <w:pPr>
        <w:pStyle w:val="Compact"/>
        <w:numPr>
          <w:ilvl w:val="0"/>
          <w:numId w:val="1019"/>
        </w:numPr>
      </w:pPr>
      <w:r>
        <w:t xml:space="preserve">Local defer on irregular meshes is more complex than on uniform grids.</w:t>
      </w:r>
    </w:p>
    <w:p>
      <w:pPr>
        <w:pStyle w:val="Compact"/>
        <w:numPr>
          <w:ilvl w:val="0"/>
          <w:numId w:val="1019"/>
        </w:numPr>
      </w:pPr>
      <w:r>
        <w:t xml:space="preserve">Finite-sample risk guarantees may require additional calibration assumptions.</w:t>
      </w:r>
    </w:p>
    <w:bookmarkEnd w:id="108"/>
    <w:bookmarkStart w:id="109" w:name="future-extensions"/>
    <w:p>
      <w:pPr>
        <w:pStyle w:val="Heading3"/>
      </w:pPr>
      <w:r>
        <w:t xml:space="preserve">10.5 Future extensions</w:t>
      </w:r>
    </w:p>
    <w:p>
      <w:pPr>
        <w:pStyle w:val="Compact"/>
        <w:numPr>
          <w:ilvl w:val="0"/>
          <w:numId w:val="1020"/>
        </w:numPr>
      </w:pPr>
      <w:r>
        <w:t xml:space="preserve">conformal accepted-risk calibration,</w:t>
      </w:r>
    </w:p>
    <w:p>
      <w:pPr>
        <w:pStyle w:val="Compact"/>
        <w:numPr>
          <w:ilvl w:val="0"/>
          <w:numId w:val="1020"/>
        </w:numPr>
      </w:pPr>
      <w:r>
        <w:t xml:space="preserve">irregular/3D geometry-aware operator backbones,</w:t>
      </w:r>
    </w:p>
    <w:p>
      <w:pPr>
        <w:pStyle w:val="Compact"/>
        <w:numPr>
          <w:ilvl w:val="0"/>
          <w:numId w:val="1020"/>
        </w:numPr>
      </w:pPr>
      <w:r>
        <w:t xml:space="preserve">inverse problems with partial observations,</w:t>
      </w:r>
    </w:p>
    <w:p>
      <w:pPr>
        <w:pStyle w:val="Compact"/>
        <w:numPr>
          <w:ilvl w:val="0"/>
          <w:numId w:val="1020"/>
        </w:numPr>
      </w:pPr>
      <w:r>
        <w:t xml:space="preserve">clinician-in-the-loop learning to defer,</w:t>
      </w:r>
    </w:p>
    <w:p>
      <w:pPr>
        <w:pStyle w:val="Compact"/>
        <w:numPr>
          <w:ilvl w:val="0"/>
          <w:numId w:val="1020"/>
        </w:numPr>
      </w:pPr>
      <w:r>
        <w:t xml:space="preserve">multi-fidelity adaptive solver hierarchies.</w:t>
      </w:r>
    </w:p>
    <w:p>
      <w:r>
        <w:pict>
          <v:rect style="width:0;height:1.5pt" o:hralign="center" o:hrstd="t" o:hr="t"/>
        </w:pict>
      </w:r>
    </w:p>
    <w:bookmarkEnd w:id="109"/>
    <w:bookmarkEnd w:id="110"/>
    <w:bookmarkStart w:id="111" w:name="conclusion"/>
    <w:p>
      <w:pPr>
        <w:pStyle w:val="Heading2"/>
      </w:pPr>
      <w:r>
        <w:t xml:space="preserve">11. Conclusion</w:t>
      </w:r>
    </w:p>
    <w:p>
      <w:pPr>
        <w:pStyle w:val="FirstParagraph"/>
      </w:pPr>
      <w:r>
        <w:t xml:space="preserve">We introduced Selective Physics-Informed Neural Operators, a framework for safe biomedical simulation that combines operator learning, physics-informed modeling, and rejection-based reliability. The key idea is that biomedical surrogates should not predict unconditionally; they should predict where they are trustworthy and defer where they are not. By leveraging uncertainty, PDE residual, rollout stability, and shift-sensitive features, SPINO supports both global and localized defer, enabling hybrid pipelines that preserve the speed of neural operators while reducing clinically significant failures. Cardiac electrophysiology provides a compelling first application because of its physical structure, local instability patterns, and clear deployment motivation. More broadly, this work advocates a shift from unconditional scientific prediction to</w:t>
      </w:r>
      <w:r>
        <w:t xml:space="preserve"> </w:t>
      </w:r>
      <w:r>
        <w:rPr>
          <w:b/>
          <w:bCs/>
        </w:rPr>
        <w:t xml:space="preserve">selective scientific decision-making</w:t>
      </w:r>
      <w:r>
        <w:t xml:space="preserve">, which we believe is a necessary step toward trustworthy biomedical digital twins.</w:t>
      </w:r>
    </w:p>
    <w:p>
      <w:r>
        <w:pict>
          <v:rect style="width:0;height:1.5pt" o:hralign="center" o:hrstd="t" o:hr="t"/>
        </w:pict>
      </w:r>
    </w:p>
    <w:bookmarkEnd w:id="111"/>
    <w:bookmarkStart w:id="115" w:name="Xec63679b3c96585122e1fe83b2b855ce0b14d16"/>
    <w:p>
      <w:pPr>
        <w:pStyle w:val="Heading2"/>
      </w:pPr>
      <w:r>
        <w:t xml:space="preserve">Appendix A. Concrete Instantiation for a First Submission</w:t>
      </w:r>
    </w:p>
    <w:bookmarkStart w:id="112" w:name="a.1-minimal-first-version-of-the-paper"/>
    <w:p>
      <w:pPr>
        <w:pStyle w:val="Heading3"/>
      </w:pPr>
      <w:r>
        <w:t xml:space="preserve">A.1 Minimal first version of the paper</w:t>
      </w:r>
    </w:p>
    <w:p>
      <w:pPr>
        <w:pStyle w:val="FirstParagraph"/>
      </w:pPr>
      <w:r>
        <w:t xml:space="preserve">For a first full draft, keep the scope disciplined:</w:t>
      </w:r>
      <w:r>
        <w:t xml:space="preserve"> </w:t>
      </w:r>
      <w:r>
        <w:t xml:space="preserve">- domain: 2D cardiac electrophysiology,</w:t>
      </w:r>
      <w:r>
        <w:t xml:space="preserve"> </w:t>
      </w:r>
      <w:r>
        <w:t xml:space="preserve">- backbone: FNO/PINO,</w:t>
      </w:r>
      <w:r>
        <w:t xml:space="preserve"> </w:t>
      </w:r>
      <w:r>
        <w:t xml:space="preserve">- rejector: local mask head,</w:t>
      </w:r>
      <w:r>
        <w:t xml:space="preserve"> </w:t>
      </w:r>
      <w:r>
        <w:t xml:space="preserve">- fallback: oracle local patch replacement or trusted numerical refinement,</w:t>
      </w:r>
      <w:r>
        <w:t xml:space="preserve"> </w:t>
      </w:r>
      <w:r>
        <w:t xml:space="preserve">- theory: one accepted-risk theorem,</w:t>
      </w:r>
      <w:r>
        <w:t xml:space="preserve"> </w:t>
      </w:r>
      <w:r>
        <w:t xml:space="preserve">- experiments: in-distribution, long rollout, parameter shift, geometry shift.</w:t>
      </w:r>
    </w:p>
    <w:p>
      <w:pPr>
        <w:pStyle w:val="BodyText"/>
      </w:pPr>
      <w:r>
        <w:t xml:space="preserve">This is enough for a serious paper.</w:t>
      </w:r>
    </w:p>
    <w:bookmarkEnd w:id="112"/>
    <w:bookmarkStart w:id="113" w:name="a.2-minimal-method-variant"/>
    <w:p>
      <w:pPr>
        <w:pStyle w:val="Heading3"/>
      </w:pPr>
      <w:r>
        <w:t xml:space="preserve">A.2 Minimal method variant</w:t>
      </w:r>
    </w:p>
    <w:p>
      <w:pPr>
        <w:pStyle w:val="FirstParagraph"/>
      </w:pPr>
      <w:r>
        <w:t xml:space="preserve">Use a two-head model:</w:t>
      </w:r>
      <w:r>
        <w:t xml:space="preserve"> </w:t>
      </w:r>
      <w:r>
        <w:t xml:space="preserve">- Head 1 predicts the trajectory.</w:t>
      </w:r>
      <w:r>
        <w:t xml:space="preserve"> </w:t>
      </w:r>
      <w:r>
        <w:t xml:space="preserve">- Head 2 predicts a risk mask.</w:t>
      </w:r>
    </w:p>
    <w:p>
      <w:pPr>
        <w:pStyle w:val="BodyText"/>
      </w:pPr>
      <w:r>
        <w:t xml:space="preserve">The risk head input should concatenate:</w:t>
      </w:r>
      <w:r>
        <w:t xml:space="preserve"> </w:t>
      </w:r>
      <w:r>
        <w:t xml:space="preserve">- final hidden features,</w:t>
      </w:r>
      <w:r>
        <w:t xml:space="preserve"> </w:t>
      </w:r>
      <w:r>
        <w:t xml:space="preserve">- residual map,</w:t>
      </w:r>
      <w:r>
        <w:t xml:space="preserve"> </w:t>
      </w:r>
      <w:r>
        <w:t xml:space="preserve">- ensemble variance map,</w:t>
      </w:r>
      <w:r>
        <w:t xml:space="preserve"> </w:t>
      </w:r>
      <w:r>
        <w:t xml:space="preserve">- temporal drift map.</w:t>
      </w:r>
    </w:p>
    <w:bookmarkEnd w:id="113"/>
    <w:bookmarkStart w:id="114" w:name="a.3-strongest-empirical-story"/>
    <w:p>
      <w:pPr>
        <w:pStyle w:val="Heading3"/>
      </w:pPr>
      <w:r>
        <w:t xml:space="preserve">A.3 Strongest empirical story</w:t>
      </w:r>
    </w:p>
    <w:p>
      <w:pPr>
        <w:pStyle w:val="FirstParagraph"/>
      </w:pPr>
      <w:r>
        <w:t xml:space="preserve">The most convincing result would be:</w:t>
      </w:r>
      <w:r>
        <w:t xml:space="preserve"> </w:t>
      </w:r>
      <w:r>
        <w:t xml:space="preserve">1. the surrogate alone fails in unstable regions,</w:t>
      </w:r>
      <w:r>
        <w:t xml:space="preserve"> </w:t>
      </w:r>
      <w:r>
        <w:t xml:space="preserve">2. the local rejector identifies those regions,</w:t>
      </w:r>
      <w:r>
        <w:t xml:space="preserve"> </w:t>
      </w:r>
      <w:r>
        <w:t xml:space="preserve">3. the hybrid method recovers most of the error with only modest fallback cost,</w:t>
      </w:r>
      <w:r>
        <w:t xml:space="preserve"> </w:t>
      </w:r>
      <w:r>
        <w:t xml:space="preserve">4. this effect is strongest under shift.</w:t>
      </w:r>
    </w:p>
    <w:p>
      <w:pPr>
        <w:pStyle w:val="BodyText"/>
      </w:pPr>
      <w:r>
        <w:t xml:space="preserve">That is the cleanest path to a top-tier narrative.</w:t>
      </w:r>
    </w:p>
    <w:p>
      <w:r>
        <w:pict>
          <v:rect style="width:0;height:1.5pt" o:hralign="center" o:hrstd="t" o:hr="t"/>
        </w:pict>
      </w:r>
    </w:p>
    <w:bookmarkEnd w:id="114"/>
    <w:bookmarkEnd w:id="115"/>
    <w:bookmarkStart w:id="116" w:name="appendix-b.-possible-paper-titles"/>
    <w:p>
      <w:pPr>
        <w:pStyle w:val="Heading2"/>
      </w:pPr>
      <w:r>
        <w:t xml:space="preserve">Appendix B. Possible Paper Titles</w:t>
      </w:r>
    </w:p>
    <w:p>
      <w:pPr>
        <w:pStyle w:val="Compact"/>
        <w:numPr>
          <w:ilvl w:val="0"/>
          <w:numId w:val="1021"/>
        </w:numPr>
      </w:pPr>
      <w:r>
        <w:t xml:space="preserve">Selective Physics-Informed Neural Operators for Safe Biomedical Simulation</w:t>
      </w:r>
    </w:p>
    <w:p>
      <w:pPr>
        <w:pStyle w:val="Compact"/>
        <w:numPr>
          <w:ilvl w:val="0"/>
          <w:numId w:val="1021"/>
        </w:numPr>
      </w:pPr>
      <w:r>
        <w:t xml:space="preserve">Learning to Defer in Biomedical Neural Operators</w:t>
      </w:r>
    </w:p>
    <w:p>
      <w:pPr>
        <w:pStyle w:val="Compact"/>
        <w:numPr>
          <w:ilvl w:val="0"/>
          <w:numId w:val="1021"/>
        </w:numPr>
      </w:pPr>
      <w:r>
        <w:t xml:space="preserve">Localized Learning to Reject for Physics-Informed Cardiac Electrophysiology</w:t>
      </w:r>
    </w:p>
    <w:p>
      <w:pPr>
        <w:pStyle w:val="Compact"/>
        <w:numPr>
          <w:ilvl w:val="0"/>
          <w:numId w:val="1021"/>
        </w:numPr>
      </w:pPr>
      <w:r>
        <w:t xml:space="preserve">Hybrid Reliable Simulation with Physics-Aware Operator Deferral</w:t>
      </w:r>
    </w:p>
    <w:p>
      <w:pPr>
        <w:pStyle w:val="Compact"/>
        <w:numPr>
          <w:ilvl w:val="0"/>
          <w:numId w:val="1021"/>
        </w:numPr>
      </w:pPr>
      <w:r>
        <w:t xml:space="preserve">Regionwise Selective Operator Learning for Biomedical Digital Twins</w:t>
      </w:r>
    </w:p>
    <w:p>
      <w:r>
        <w:pict>
          <v:rect style="width:0;height:1.5pt" o:hralign="center" o:hrstd="t" o:hr="t"/>
        </w:pict>
      </w:r>
    </w:p>
    <w:bookmarkEnd w:id="116"/>
    <w:bookmarkStart w:id="117" w:name="X919a8730c37bdea0eff55a7ff9f27be510a2da0"/>
    <w:p>
      <w:pPr>
        <w:pStyle w:val="Heading2"/>
      </w:pPr>
      <w:r>
        <w:t xml:space="preserve">Appendix C. Concrete NeurIPS Contribution Statement</w:t>
      </w:r>
    </w:p>
    <w:p>
      <w:pPr>
        <w:pStyle w:val="FirstParagraph"/>
      </w:pPr>
      <w:r>
        <w:t xml:space="preserve">We propose the first selective operator-learning framework for biomedical simulation, introducing localized acceptance and defer mechanisms for physics-informed neural operators. Our method combines predictive uncertainty, PDE residual, and shift-sensitive diagnostics to identify unreliable spatiotemporal regions and route them to a trusted fallback solver. We formalize selective risk for operator-valued outputs, provide a residual-aware accepted-risk analysis, and demonstrate on cardiac electrophysiology that localized defer yields a substantially better accuracy-compute-safety trade-off than unconditional prediction or global rejection.</w:t>
      </w:r>
    </w:p>
    <w:bookmarkEnd w:id="117"/>
    <w:bookmarkEnd w:id="1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2026-04-09T09:31:03Z</dcterms:created>
  <dcterms:modified xsi:type="dcterms:W3CDTF">2026-04-09T09:31:03Z</dcterms:modified>
</cp:coreProperties>
</file>

<file path=docProps/custom.xml><?xml version="1.0" encoding="utf-8"?>
<Properties xmlns="http://schemas.openxmlformats.org/officeDocument/2006/custom-properties" xmlns:vt="http://schemas.openxmlformats.org/officeDocument/2006/docPropsVTypes"/>
</file>