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21EB" w:rsidRDefault="003321EB" w:rsidP="003321EB">
      <w:r>
        <w:t>Internet Protocol Governance &amp; Standards Advisory</w:t>
      </w:r>
    </w:p>
    <w:p w:rsidR="003321EB" w:rsidRDefault="003321EB" w:rsidP="003321EB">
      <w:r>
        <w:t>March 2025</w:t>
      </w:r>
    </w:p>
    <w:p w:rsidR="003321EB" w:rsidRDefault="003321EB" w:rsidP="003321EB"/>
    <w:p w:rsidR="003321EB" w:rsidRDefault="003321EB" w:rsidP="003321EB"/>
    <w:p w:rsidR="003321EB" w:rsidRDefault="003321EB" w:rsidP="003321EB">
      <w:r>
        <w:t>Executive Summary</w:t>
      </w:r>
    </w:p>
    <w:p w:rsidR="003321EB" w:rsidRDefault="003321EB" w:rsidP="003321EB">
      <w:r>
        <w:t>This advisory provides an overview of significant developments in Internet Protocol governance and emerging standards affecting network infrastructure, security protocols, and global internet operations. Stakeholders are advised to review the implications for their organizations and begin planning for implementation timelines.</w:t>
      </w:r>
    </w:p>
    <w:p w:rsidR="003321EB" w:rsidRDefault="003321EB" w:rsidP="003321EB">
      <w:r>
        <w:t>Key Developments</w:t>
      </w:r>
    </w:p>
    <w:p w:rsidR="003321EB" w:rsidRDefault="003321EB" w:rsidP="003321EB">
      <w:r>
        <w:t>IPv6 Adoption Acceleration</w:t>
      </w:r>
    </w:p>
    <w:p w:rsidR="003321EB" w:rsidRDefault="003321EB" w:rsidP="003321EB">
      <w:r>
        <w:t>The global transition to IPv6 has reached a critical threshold, with approximately 45% of internet traffic now utilizing IPv6 protocols. Regional Internet Registries (RIRs) continue to report exhaustion of IPv4 address pools, making IPv6 migration no longer optional for expanding networks.</w:t>
      </w:r>
    </w:p>
    <w:p w:rsidR="003321EB" w:rsidRDefault="003321EB" w:rsidP="003321EB">
      <w:r>
        <w:t>Action Items:</w:t>
      </w:r>
    </w:p>
    <w:p w:rsidR="003321EB" w:rsidRDefault="003321EB" w:rsidP="003321EB"/>
    <w:p w:rsidR="003321EB" w:rsidRDefault="003321EB" w:rsidP="003321EB">
      <w:r>
        <w:t>Organizations still operating primarily on IPv4 should establish migration roadmaps by Q3 2025</w:t>
      </w:r>
    </w:p>
    <w:p w:rsidR="003321EB" w:rsidRDefault="003321EB" w:rsidP="003321EB">
      <w:r>
        <w:t>Dual-stack configurations remain the recommended transition approach</w:t>
      </w:r>
    </w:p>
    <w:p w:rsidR="003321EB" w:rsidRDefault="003321EB" w:rsidP="003321EB">
      <w:r>
        <w:t>Legacy system compatibility assessments should be prioritized</w:t>
      </w:r>
    </w:p>
    <w:p w:rsidR="003321EB" w:rsidRDefault="003321EB" w:rsidP="003321EB"/>
    <w:p w:rsidR="003321EB" w:rsidRDefault="003321EB" w:rsidP="003321EB">
      <w:r>
        <w:t>QUIC Protocol Standardization</w:t>
      </w:r>
    </w:p>
    <w:p w:rsidR="003321EB" w:rsidRDefault="003321EB" w:rsidP="003321EB">
      <w:r>
        <w:t>The IETF has finalized additional extensions to the QUIC transport protocol, addressing edge cases in mobile network handoffs and improving performance in high-latency environments. Major content delivery networks are reporting 20-30% improvements in page load times for mobile users.</w:t>
      </w:r>
    </w:p>
    <w:p w:rsidR="003321EB" w:rsidRDefault="003321EB" w:rsidP="003321EB">
      <w:r>
        <w:t>DNS Security Enhancements</w:t>
      </w:r>
    </w:p>
    <w:p w:rsidR="003321EB" w:rsidRDefault="003321EB" w:rsidP="003321EB">
      <w:r>
        <w:lastRenderedPageBreak/>
        <w:t>New DNSSEC implementation guidelines address emerging threats and simplify deployment for mid-sized organizations. The advisory working group recommends universal adoption of DNS-over-HTTPS (</w:t>
      </w:r>
      <w:proofErr w:type="spellStart"/>
      <w:r>
        <w:t>DoH</w:t>
      </w:r>
      <w:proofErr w:type="spellEnd"/>
      <w:r>
        <w:t>) and DNS-over-TLS (DoT) for enhanced privacy and security.</w:t>
      </w:r>
    </w:p>
    <w:p w:rsidR="003321EB" w:rsidRDefault="003321EB" w:rsidP="003321EB">
      <w:r>
        <w:t>Governance Framework Updates</w:t>
      </w:r>
    </w:p>
    <w:p w:rsidR="003321EB" w:rsidRDefault="003321EB" w:rsidP="003321EB">
      <w:r>
        <w:t>Multi-Stakeholder Model Evolution</w:t>
      </w:r>
    </w:p>
    <w:p w:rsidR="003321EB" w:rsidRDefault="003321EB" w:rsidP="003321EB">
      <w:r>
        <w:t>ICANN has introduced revised procedures for policy development, emphasizing greater participation from developing regions and underrepresented communities. The new framework includes:</w:t>
      </w:r>
    </w:p>
    <w:p w:rsidR="003321EB" w:rsidRDefault="003321EB" w:rsidP="003321EB"/>
    <w:p w:rsidR="003321EB" w:rsidRDefault="003321EB" w:rsidP="003321EB">
      <w:r>
        <w:t>Enhanced transparency requirements for decision-making processes</w:t>
      </w:r>
    </w:p>
    <w:p w:rsidR="003321EB" w:rsidRDefault="003321EB" w:rsidP="003321EB">
      <w:r>
        <w:t>Streamlined pathways for emerging market input</w:t>
      </w:r>
    </w:p>
    <w:p w:rsidR="003321EB" w:rsidRDefault="003321EB" w:rsidP="003321EB">
      <w:r>
        <w:t>Strengthened accountability mechanisms</w:t>
      </w:r>
    </w:p>
    <w:p w:rsidR="003321EB" w:rsidRDefault="003321EB" w:rsidP="003321EB"/>
    <w:p w:rsidR="003321EB" w:rsidRDefault="003321EB" w:rsidP="003321EB">
      <w:r>
        <w:t>Data Sovereignty Considerations</w:t>
      </w:r>
    </w:p>
    <w:p w:rsidR="003321EB" w:rsidRDefault="003321EB" w:rsidP="003321EB">
      <w:r>
        <w:t>Increasing regulatory divergence across jurisdictions continues to impact internet protocol implementation. Organizations operating across multiple regions should assess compliance requirements related to:</w:t>
      </w:r>
    </w:p>
    <w:p w:rsidR="003321EB" w:rsidRDefault="003321EB" w:rsidP="003321EB"/>
    <w:p w:rsidR="003321EB" w:rsidRDefault="003321EB" w:rsidP="003321EB">
      <w:r>
        <w:t>Cross-border data flows</w:t>
      </w:r>
    </w:p>
    <w:p w:rsidR="003321EB" w:rsidRDefault="003321EB" w:rsidP="003321EB">
      <w:r>
        <w:t>Local data residency mandates</w:t>
      </w:r>
    </w:p>
    <w:p w:rsidR="003321EB" w:rsidRDefault="003321EB" w:rsidP="003321EB">
      <w:r>
        <w:t>Regional content filtering obligations</w:t>
      </w:r>
    </w:p>
    <w:p w:rsidR="003321EB" w:rsidRDefault="003321EB" w:rsidP="003321EB"/>
    <w:p w:rsidR="003321EB" w:rsidRDefault="003321EB" w:rsidP="003321EB">
      <w:r>
        <w:t>Security Standards</w:t>
      </w:r>
    </w:p>
    <w:p w:rsidR="003321EB" w:rsidRDefault="003321EB" w:rsidP="003321EB">
      <w:r>
        <w:t>TLS 1.3 Mandatory Migration</w:t>
      </w:r>
    </w:p>
    <w:p w:rsidR="003321EB" w:rsidRDefault="003321EB" w:rsidP="003321EB">
      <w:r>
        <w:t>Beginning Q4 2025, major browser vendors will deprecate support for TLS 1.2 and earlier versions. Organizations must complete migration to TLS 1.3 to maintain secure communications.</w:t>
      </w:r>
    </w:p>
    <w:p w:rsidR="003321EB" w:rsidRDefault="003321EB" w:rsidP="003321EB">
      <w:r>
        <w:t>Timeline:</w:t>
      </w:r>
    </w:p>
    <w:p w:rsidR="003321EB" w:rsidRDefault="003321EB" w:rsidP="003321EB"/>
    <w:p w:rsidR="003321EB" w:rsidRDefault="003321EB" w:rsidP="003321EB">
      <w:r>
        <w:lastRenderedPageBreak/>
        <w:t>June 2025: Final deprecation warnings</w:t>
      </w:r>
    </w:p>
    <w:p w:rsidR="003321EB" w:rsidRDefault="003321EB" w:rsidP="003321EB">
      <w:r>
        <w:t>October 2025: TLS 1.2 support removal begins</w:t>
      </w:r>
    </w:p>
    <w:p w:rsidR="003321EB" w:rsidRDefault="003321EB" w:rsidP="003321EB">
      <w:r>
        <w:t>December 2025: Full enforcement across major platforms</w:t>
      </w:r>
    </w:p>
    <w:p w:rsidR="003321EB" w:rsidRDefault="003321EB" w:rsidP="003321EB"/>
    <w:p w:rsidR="003321EB" w:rsidRDefault="003321EB" w:rsidP="003321EB">
      <w:r>
        <w:t>Post-Quantum Cryptography Preparation</w:t>
      </w:r>
    </w:p>
    <w:p w:rsidR="003321EB" w:rsidRDefault="003321EB" w:rsidP="003321EB">
      <w:r>
        <w:t>The transition to quantum-resistant cryptographic algorithms is entering its preparatory phase. NIST-approved algorithms are now available for early adoption, with mandatory implementation expected by 2027-2028.</w:t>
      </w:r>
    </w:p>
    <w:p w:rsidR="003321EB" w:rsidRDefault="003321EB" w:rsidP="003321EB">
      <w:r>
        <w:t>Emerging Standards</w:t>
      </w:r>
    </w:p>
    <w:p w:rsidR="003321EB" w:rsidRDefault="003321EB" w:rsidP="003321EB">
      <w:r>
        <w:t>Network Time Security (NTS)</w:t>
      </w:r>
    </w:p>
    <w:p w:rsidR="003321EB" w:rsidRDefault="003321EB" w:rsidP="003321EB">
      <w:r>
        <w:t>The Network Time Protocol is receiving critical security updates through the NTS standard, addressing vulnerabilities in time synchronization that can impact security protocols, logging, and distributed systems.</w:t>
      </w:r>
    </w:p>
    <w:p w:rsidR="003321EB" w:rsidRDefault="003321EB" w:rsidP="003321EB">
      <w:r>
        <w:t>HTTP/3 Deployment Guidelines</w:t>
      </w:r>
    </w:p>
    <w:p w:rsidR="003321EB" w:rsidRDefault="003321EB" w:rsidP="003321EB">
      <w:r>
        <w:t>Updated best practices for HTTP/3 deployment address real-world implementation challenges and provide optimization recommendations for various network conditions and use cases.</w:t>
      </w:r>
    </w:p>
    <w:p w:rsidR="003321EB" w:rsidRDefault="003321EB" w:rsidP="003321EB">
      <w:r>
        <w:t>Regional Considerations</w:t>
      </w:r>
    </w:p>
    <w:p w:rsidR="003321EB" w:rsidRDefault="003321EB" w:rsidP="003321EB">
      <w:r>
        <w:t>Asia-Pacific Region</w:t>
      </w:r>
    </w:p>
    <w:p w:rsidR="003321EB" w:rsidRDefault="003321EB" w:rsidP="003321EB">
      <w:r>
        <w:t>Significant infrastructure investments and regulatory harmonization efforts are simplifying cross-border internet operations. National regulators are increasingly coordinating on technical standards.</w:t>
      </w:r>
    </w:p>
    <w:p w:rsidR="003321EB" w:rsidRDefault="003321EB" w:rsidP="003321EB">
      <w:r>
        <w:t>European Union</w:t>
      </w:r>
    </w:p>
    <w:p w:rsidR="003321EB" w:rsidRDefault="003321EB" w:rsidP="003321EB">
      <w:r>
        <w:t>The Digital Services Act and Digital Markets Act continue to influence protocol implementation requirements, particularly regarding interoperability and data portability.</w:t>
      </w:r>
    </w:p>
    <w:p w:rsidR="003321EB" w:rsidRDefault="003321EB" w:rsidP="003321EB">
      <w:r>
        <w:t>Americas</w:t>
      </w:r>
    </w:p>
    <w:p w:rsidR="003321EB" w:rsidRDefault="003321EB" w:rsidP="003321EB">
      <w:r>
        <w:t>Regional efforts focus on expanding broadband access and ensuring rural connectivity meets modern protocol standards.</w:t>
      </w:r>
    </w:p>
    <w:p w:rsidR="003321EB" w:rsidRDefault="003321EB" w:rsidP="003321EB">
      <w:r>
        <w:t>Africa and Middle East</w:t>
      </w:r>
    </w:p>
    <w:p w:rsidR="003321EB" w:rsidRDefault="003321EB" w:rsidP="003321EB">
      <w:r>
        <w:lastRenderedPageBreak/>
        <w:t>Infrastructure development initiatives are leapfrogging legacy technologies, with new deployments implementing current-generation protocols from inception.</w:t>
      </w:r>
    </w:p>
    <w:p w:rsidR="003321EB" w:rsidRDefault="003321EB" w:rsidP="003321EB">
      <w:r>
        <w:t>Recommendations</w:t>
      </w:r>
    </w:p>
    <w:p w:rsidR="003321EB" w:rsidRDefault="003321EB" w:rsidP="003321EB"/>
    <w:p w:rsidR="003321EB" w:rsidRDefault="003321EB" w:rsidP="003321EB">
      <w:r>
        <w:t>Conduct Infrastructure Audits: Assess current protocol implementations against upcoming requirements</w:t>
      </w:r>
    </w:p>
    <w:p w:rsidR="003321EB" w:rsidRDefault="003321EB" w:rsidP="003321EB">
      <w:r>
        <w:t>Develop Migration Plans: Establish timelines for necessary upgrades and transitions</w:t>
      </w:r>
    </w:p>
    <w:p w:rsidR="003321EB" w:rsidRDefault="003321EB" w:rsidP="003321EB">
      <w:r>
        <w:t>Enhance Security Posture: Prioritize implementation of updated security standards</w:t>
      </w:r>
    </w:p>
    <w:p w:rsidR="003321EB" w:rsidRDefault="003321EB" w:rsidP="003321EB">
      <w:r>
        <w:t>Engage in Governance: Participate in multi-stakeholder processes relevant to your sector</w:t>
      </w:r>
    </w:p>
    <w:p w:rsidR="003321EB" w:rsidRDefault="003321EB" w:rsidP="003321EB">
      <w:r>
        <w:t>Monitor Regulatory Developments: Stay informed of regional requirements affecting internet protocols</w:t>
      </w:r>
    </w:p>
    <w:p w:rsidR="003321EB" w:rsidRDefault="003321EB" w:rsidP="003321EB"/>
    <w:p w:rsidR="003321EB" w:rsidRDefault="003321EB" w:rsidP="003321EB">
      <w:r>
        <w:t>Resources and Support</w:t>
      </w:r>
    </w:p>
    <w:p w:rsidR="003321EB" w:rsidRDefault="003321EB" w:rsidP="003321EB">
      <w:r>
        <w:t>Organizations requiring technical assistance should consult with their regional internet registry, national network operators' groups, and relevant standards bodies. Additional guidance materials are available through IETF, ICANN, and regional technical communities.</w:t>
      </w:r>
    </w:p>
    <w:p w:rsidR="003321EB" w:rsidRDefault="003321EB" w:rsidP="003321EB">
      <w:r>
        <w:t>Contact Information</w:t>
      </w:r>
    </w:p>
    <w:p w:rsidR="003321EB" w:rsidRDefault="003321EB" w:rsidP="003321EB">
      <w:r>
        <w:t>For questions regarding this advisory:</w:t>
      </w:r>
    </w:p>
    <w:p w:rsidR="003321EB" w:rsidRDefault="003321EB" w:rsidP="003321EB"/>
    <w:p w:rsidR="003321EB" w:rsidRDefault="003321EB" w:rsidP="003321EB">
      <w:r>
        <w:t>Technical Standards: standards-advisory@example.org</w:t>
      </w:r>
    </w:p>
    <w:p w:rsidR="003321EB" w:rsidRDefault="003321EB" w:rsidP="003321EB">
      <w:r>
        <w:t>Governance Inquiries: governance@example.org</w:t>
      </w:r>
    </w:p>
    <w:p w:rsidR="003321EB" w:rsidRDefault="003321EB" w:rsidP="003321EB">
      <w:r>
        <w:t>Regional Coordinators: regional-contacts@example.org</w:t>
      </w:r>
    </w:p>
    <w:p w:rsidR="003321EB" w:rsidRDefault="003321EB" w:rsidP="003321EB"/>
    <w:p w:rsidR="003321EB" w:rsidRDefault="003321EB" w:rsidP="003321EB"/>
    <w:p w:rsidR="003321EB" w:rsidRDefault="003321EB" w:rsidP="003321EB">
      <w:r>
        <w:t>Appendix: Acronym Reference</w:t>
      </w:r>
    </w:p>
    <w:p w:rsidR="003321EB" w:rsidRDefault="003321EB" w:rsidP="003321EB"/>
    <w:p w:rsidR="003321EB" w:rsidRDefault="003321EB" w:rsidP="003321EB">
      <w:r>
        <w:t>ICANN: Internet Corporation for Assigned Names and Numbers</w:t>
      </w:r>
    </w:p>
    <w:p w:rsidR="003321EB" w:rsidRDefault="003321EB" w:rsidP="003321EB">
      <w:r>
        <w:t>IETF: Internet Engineering Task Force</w:t>
      </w:r>
    </w:p>
    <w:p w:rsidR="003321EB" w:rsidRDefault="003321EB" w:rsidP="003321EB">
      <w:r>
        <w:lastRenderedPageBreak/>
        <w:t>RIR: Regional Internet Registry</w:t>
      </w:r>
    </w:p>
    <w:p w:rsidR="003321EB" w:rsidRDefault="003321EB" w:rsidP="003321EB">
      <w:r>
        <w:t>DNSSEC: Domain Name System Security Extensions</w:t>
      </w:r>
    </w:p>
    <w:p w:rsidR="003321EB" w:rsidRDefault="003321EB" w:rsidP="003321EB">
      <w:r>
        <w:t>QUIC: Quick UDP Internet Connections</w:t>
      </w:r>
    </w:p>
    <w:p w:rsidR="003321EB" w:rsidRDefault="003321EB" w:rsidP="003321EB">
      <w:r>
        <w:t>TLS: Transport Layer Security</w:t>
      </w:r>
    </w:p>
    <w:p w:rsidR="003321EB" w:rsidRDefault="003321EB" w:rsidP="003321EB">
      <w:r>
        <w:t>NTS: Network Time Security</w:t>
      </w:r>
    </w:p>
    <w:p w:rsidR="003321EB" w:rsidRDefault="003321EB" w:rsidP="003321EB">
      <w:r>
        <w:t>NIST: National Institute of Standards and Technology</w:t>
      </w:r>
    </w:p>
    <w:p w:rsidR="003321EB" w:rsidRDefault="003321EB" w:rsidP="003321EB"/>
    <w:p w:rsidR="003321EB" w:rsidRDefault="003321EB" w:rsidP="003321EB"/>
    <w:p w:rsidR="003321EB" w:rsidRDefault="003321EB" w:rsidP="003321EB">
      <w:r>
        <w:rPr>
          <w:rFonts w:ascii="Segoe UI Emoji" w:hAnsi="Segoe UI Emoji" w:cs="Segoe UI Emoji"/>
        </w:rPr>
        <w:t>⚠️</w:t>
      </w:r>
      <w:r>
        <w:t xml:space="preserve"> FOOTER REMINDER: This document is fictional and created for demonstration purposes only. It does not contain actual governance decisions or represent official communications from any internet governance body or standards organization.</w:t>
      </w:r>
    </w:p>
    <w:p w:rsidR="003321EB" w:rsidRDefault="003321EB" w:rsidP="003321EB">
      <w:r>
        <w:t>Document Version: 1.0</w:t>
      </w:r>
    </w:p>
    <w:p w:rsidR="003321EB" w:rsidRDefault="003321EB" w:rsidP="003321EB">
      <w:r>
        <w:t>Publication Date: March 2025 (Fictional)</w:t>
      </w:r>
    </w:p>
    <w:p w:rsidR="003321EB" w:rsidRPr="003321EB" w:rsidRDefault="003321EB" w:rsidP="003321EB">
      <w:r>
        <w:t>Next Review: June 2025 (Fictional)</w:t>
      </w:r>
    </w:p>
    <w:sectPr w:rsidR="003321EB" w:rsidRPr="003321EB">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79D3" w:rsidRDefault="002079D3" w:rsidP="003321EB">
      <w:pPr>
        <w:spacing w:after="0" w:line="240" w:lineRule="auto"/>
      </w:pPr>
      <w:r>
        <w:separator/>
      </w:r>
    </w:p>
  </w:endnote>
  <w:endnote w:type="continuationSeparator" w:id="0">
    <w:p w:rsidR="002079D3" w:rsidRDefault="002079D3" w:rsidP="00332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21EB" w:rsidRDefault="003321EB" w:rsidP="003321EB">
    <w:pPr>
      <w:spacing w:before="240"/>
      <w:jc w:val="center"/>
    </w:pPr>
    <w:r>
      <w:t>DISCLAIMER: This is a fictional document created for illustrative purposes only. The information contained herein does not represent actual governance decisions, standards updates, or official advisory communications.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79D3" w:rsidRDefault="002079D3" w:rsidP="003321EB">
      <w:pPr>
        <w:spacing w:after="0" w:line="240" w:lineRule="auto"/>
      </w:pPr>
      <w:r>
        <w:separator/>
      </w:r>
    </w:p>
  </w:footnote>
  <w:footnote w:type="continuationSeparator" w:id="0">
    <w:p w:rsidR="002079D3" w:rsidRDefault="002079D3" w:rsidP="003321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1EB"/>
    <w:rsid w:val="002079D3"/>
    <w:rsid w:val="003321EB"/>
    <w:rsid w:val="007A441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3D8F"/>
  <w15:chartTrackingRefBased/>
  <w15:docId w15:val="{4B7B495B-118A-408E-B427-294F49F4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1EB"/>
    <w:rPr>
      <w:rFonts w:eastAsiaTheme="majorEastAsia" w:cstheme="majorBidi"/>
      <w:color w:val="272727" w:themeColor="text1" w:themeTint="D8"/>
    </w:rPr>
  </w:style>
  <w:style w:type="paragraph" w:styleId="Title">
    <w:name w:val="Title"/>
    <w:basedOn w:val="Normal"/>
    <w:next w:val="Normal"/>
    <w:link w:val="TitleChar"/>
    <w:uiPriority w:val="10"/>
    <w:qFormat/>
    <w:rsid w:val="00332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1EB"/>
    <w:pPr>
      <w:spacing w:before="160"/>
      <w:jc w:val="center"/>
    </w:pPr>
    <w:rPr>
      <w:i/>
      <w:iCs/>
      <w:color w:val="404040" w:themeColor="text1" w:themeTint="BF"/>
    </w:rPr>
  </w:style>
  <w:style w:type="character" w:customStyle="1" w:styleId="QuoteChar">
    <w:name w:val="Quote Char"/>
    <w:basedOn w:val="DefaultParagraphFont"/>
    <w:link w:val="Quote"/>
    <w:uiPriority w:val="29"/>
    <w:rsid w:val="003321EB"/>
    <w:rPr>
      <w:i/>
      <w:iCs/>
      <w:color w:val="404040" w:themeColor="text1" w:themeTint="BF"/>
    </w:rPr>
  </w:style>
  <w:style w:type="paragraph" w:styleId="ListParagraph">
    <w:name w:val="List Paragraph"/>
    <w:basedOn w:val="Normal"/>
    <w:uiPriority w:val="34"/>
    <w:qFormat/>
    <w:rsid w:val="003321EB"/>
    <w:pPr>
      <w:ind w:left="720"/>
      <w:contextualSpacing/>
    </w:pPr>
  </w:style>
  <w:style w:type="character" w:styleId="IntenseEmphasis">
    <w:name w:val="Intense Emphasis"/>
    <w:basedOn w:val="DefaultParagraphFont"/>
    <w:uiPriority w:val="21"/>
    <w:qFormat/>
    <w:rsid w:val="003321EB"/>
    <w:rPr>
      <w:i/>
      <w:iCs/>
      <w:color w:val="0F4761" w:themeColor="accent1" w:themeShade="BF"/>
    </w:rPr>
  </w:style>
  <w:style w:type="paragraph" w:styleId="IntenseQuote">
    <w:name w:val="Intense Quote"/>
    <w:basedOn w:val="Normal"/>
    <w:next w:val="Normal"/>
    <w:link w:val="IntenseQuoteChar"/>
    <w:uiPriority w:val="30"/>
    <w:qFormat/>
    <w:rsid w:val="00332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1EB"/>
    <w:rPr>
      <w:i/>
      <w:iCs/>
      <w:color w:val="0F4761" w:themeColor="accent1" w:themeShade="BF"/>
    </w:rPr>
  </w:style>
  <w:style w:type="character" w:styleId="IntenseReference">
    <w:name w:val="Intense Reference"/>
    <w:basedOn w:val="DefaultParagraphFont"/>
    <w:uiPriority w:val="32"/>
    <w:qFormat/>
    <w:rsid w:val="003321EB"/>
    <w:rPr>
      <w:b/>
      <w:bCs/>
      <w:smallCaps/>
      <w:color w:val="0F4761" w:themeColor="accent1" w:themeShade="BF"/>
      <w:spacing w:val="5"/>
    </w:rPr>
  </w:style>
  <w:style w:type="paragraph" w:styleId="Header">
    <w:name w:val="header"/>
    <w:basedOn w:val="Normal"/>
    <w:link w:val="HeaderChar"/>
    <w:uiPriority w:val="99"/>
    <w:unhideWhenUsed/>
    <w:rsid w:val="003321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21EB"/>
  </w:style>
  <w:style w:type="paragraph" w:styleId="Footer">
    <w:name w:val="footer"/>
    <w:basedOn w:val="Normal"/>
    <w:link w:val="FooterChar"/>
    <w:uiPriority w:val="99"/>
    <w:unhideWhenUsed/>
    <w:rsid w:val="003321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2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867</Words>
  <Characters>4944</Characters>
  <Application>Microsoft Office Word</Application>
  <DocSecurity>0</DocSecurity>
  <Lines>41</Lines>
  <Paragraphs>11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Forage</dc:creator>
  <cp:keywords/>
  <dc:description/>
  <cp:lastModifiedBy>Forage</cp:lastModifiedBy>
  <cp:revision>1</cp:revision>
  <dcterms:created xsi:type="dcterms:W3CDTF">2025-12-09T17:44:00Z</dcterms:created>
  <dcterms:modified xsi:type="dcterms:W3CDTF">2025-12-09T17:46:00Z</dcterms:modified>
</cp:coreProperties>
</file>