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4970" w:type="dxa"/>
        <w:tblLook w:val="04A0" w:firstRow="1" w:lastRow="0" w:firstColumn="1" w:lastColumn="0" w:noHBand="0" w:noVBand="1"/>
      </w:tblPr>
      <w:tblGrid>
        <w:gridCol w:w="2263"/>
        <w:gridCol w:w="12707"/>
      </w:tblGrid>
      <w:tr w:rsidR="005D71E9" w:rsidTr="005D71E9">
        <w:trPr>
          <w:trHeight w:val="1129"/>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118</w:t>
            </w:r>
          </w:p>
        </w:tc>
        <w:tc>
          <w:tcPr>
            <w:tcW w:w="12707" w:type="dxa"/>
          </w:tcPr>
          <w:p w:rsidR="005D71E9" w:rsidRPr="00E603FD" w:rsidRDefault="005D71E9" w:rsidP="00E603FD">
            <w:pPr>
              <w:pStyle w:val="a4"/>
              <w:spacing w:before="0" w:beforeAutospacing="0" w:after="0" w:afterAutospacing="0"/>
              <w:ind w:firstLine="567"/>
              <w:rPr>
                <w:color w:val="000000"/>
              </w:rPr>
            </w:pPr>
            <w:r w:rsidRPr="00E603FD">
              <w:rPr>
                <w:color w:val="000000"/>
              </w:rPr>
              <w:t>1. Правосудие в Российской Федерации осуществляется только судом.</w:t>
            </w:r>
          </w:p>
          <w:p w:rsidR="005D71E9" w:rsidRPr="00E603FD" w:rsidRDefault="005D71E9" w:rsidP="00E603FD">
            <w:pPr>
              <w:pStyle w:val="a4"/>
              <w:spacing w:before="0" w:beforeAutospacing="0" w:after="0" w:afterAutospacing="0"/>
              <w:ind w:firstLine="567"/>
              <w:rPr>
                <w:color w:val="000000"/>
              </w:rPr>
            </w:pPr>
            <w:bookmarkStart w:id="0" w:name="1182"/>
            <w:bookmarkEnd w:id="0"/>
            <w:r w:rsidRPr="00E603FD">
              <w:rPr>
                <w:color w:val="000000"/>
              </w:rPr>
              <w:t>2. Судебная власть осуществляется посредством конституционного, гражданского, административного и уголовного судопроизводства.</w:t>
            </w:r>
          </w:p>
          <w:p w:rsidR="005D71E9" w:rsidRPr="00E603FD" w:rsidRDefault="00E603FD" w:rsidP="00E603FD">
            <w:pPr>
              <w:pStyle w:val="a4"/>
              <w:spacing w:before="0" w:beforeAutospacing="0" w:after="0" w:afterAutospacing="0"/>
              <w:ind w:firstLine="567"/>
              <w:rPr>
                <w:color w:val="000000"/>
              </w:rPr>
            </w:pPr>
            <w:bookmarkStart w:id="1" w:name="1183"/>
            <w:bookmarkEnd w:id="1"/>
            <w:r w:rsidRPr="00E603FD">
              <w:rPr>
                <w:color w:val="000000"/>
              </w:rPr>
              <w:t>3</w:t>
            </w:r>
            <w:r w:rsidR="005D71E9" w:rsidRPr="00E603FD">
              <w:rPr>
                <w:color w:val="000000"/>
              </w:rPr>
              <w:t>. Судебная система Российской Федерации устанавливается Конституцией Российской Федерации и федеральным конституционным законом. Создание чрезвычайных судов не допускается.</w:t>
            </w:r>
          </w:p>
        </w:tc>
      </w:tr>
      <w:tr w:rsidR="005D71E9" w:rsidTr="005D71E9">
        <w:trPr>
          <w:trHeight w:val="1129"/>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119</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Судьями могут быть граждане Российской Федерации, достигшие 25 лет, имеющие высшее юридическое образование и стаж работы по юридической профессии не менее пяти лет. Федеральным законом могут быть установлены дополнительные требования к судьям судов Российской Федерации.</w:t>
            </w:r>
          </w:p>
        </w:tc>
      </w:tr>
      <w:tr w:rsidR="005D71E9" w:rsidTr="005D71E9">
        <w:trPr>
          <w:trHeight w:val="1129"/>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120</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1. Судьи независимы и подчиняются только Конституции Российской Федерации и федеральному закону.</w:t>
            </w:r>
          </w:p>
          <w:p w:rsidR="005D71E9" w:rsidRPr="00E603FD" w:rsidRDefault="005D71E9" w:rsidP="00E603FD">
            <w:pPr>
              <w:ind w:firstLine="567"/>
              <w:rPr>
                <w:rFonts w:ascii="Times New Roman" w:hAnsi="Times New Roman" w:cs="Times New Roman"/>
                <w:sz w:val="24"/>
                <w:szCs w:val="24"/>
              </w:rPr>
            </w:pPr>
            <w:bookmarkStart w:id="2" w:name="dst100532"/>
            <w:bookmarkEnd w:id="2"/>
            <w:r w:rsidRPr="00E603FD">
              <w:rPr>
                <w:rFonts w:ascii="Times New Roman" w:hAnsi="Times New Roman" w:cs="Times New Roman"/>
                <w:sz w:val="24"/>
                <w:szCs w:val="24"/>
              </w:rPr>
              <w:t>2. Суд, установив при рассмотрении дела несоответствие акта государственного или иного органа закону, принимает решение в соответствии с законом.</w:t>
            </w:r>
          </w:p>
        </w:tc>
      </w:tr>
      <w:tr w:rsidR="005D71E9" w:rsidTr="005D71E9">
        <w:trPr>
          <w:trHeight w:val="1129"/>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121</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1. Судьи несменяемы.</w:t>
            </w:r>
          </w:p>
          <w:p w:rsidR="005D71E9" w:rsidRPr="00E603FD" w:rsidRDefault="005D71E9" w:rsidP="00E603FD">
            <w:pPr>
              <w:ind w:firstLine="567"/>
              <w:rPr>
                <w:rFonts w:ascii="Times New Roman" w:hAnsi="Times New Roman" w:cs="Times New Roman"/>
                <w:sz w:val="24"/>
                <w:szCs w:val="24"/>
              </w:rPr>
            </w:pPr>
            <w:bookmarkStart w:id="3" w:name="dst100535"/>
            <w:bookmarkEnd w:id="3"/>
            <w:r w:rsidRPr="00E603FD">
              <w:rPr>
                <w:rFonts w:ascii="Times New Roman" w:hAnsi="Times New Roman" w:cs="Times New Roman"/>
                <w:sz w:val="24"/>
                <w:szCs w:val="24"/>
              </w:rPr>
              <w:t>2. Полномочия судьи могут быть прекращены или приостановлены не иначе как в порядке и по основаниям, установленным федеральным законом.</w:t>
            </w:r>
          </w:p>
        </w:tc>
      </w:tr>
      <w:tr w:rsidR="005D71E9" w:rsidTr="005D71E9">
        <w:trPr>
          <w:trHeight w:val="1047"/>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122</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1. Судьи неприкосновенны.</w:t>
            </w:r>
          </w:p>
          <w:p w:rsidR="005D71E9" w:rsidRPr="00E603FD" w:rsidRDefault="005D71E9" w:rsidP="00E603FD">
            <w:pPr>
              <w:ind w:firstLine="567"/>
              <w:rPr>
                <w:rFonts w:ascii="Times New Roman" w:hAnsi="Times New Roman" w:cs="Times New Roman"/>
                <w:sz w:val="24"/>
                <w:szCs w:val="24"/>
              </w:rPr>
            </w:pPr>
            <w:bookmarkStart w:id="4" w:name="dst100538"/>
            <w:bookmarkEnd w:id="4"/>
            <w:r w:rsidRPr="00E603FD">
              <w:rPr>
                <w:rFonts w:ascii="Times New Roman" w:hAnsi="Times New Roman" w:cs="Times New Roman"/>
                <w:sz w:val="24"/>
                <w:szCs w:val="24"/>
              </w:rPr>
              <w:t>2. Судья не может быть привлечен к уголовной ответственности иначе как в порядке, определяемом федеральным </w:t>
            </w:r>
            <w:hyperlink r:id="rId4" w:anchor="dst100209" w:history="1">
              <w:r w:rsidRPr="00E603FD">
                <w:rPr>
                  <w:rStyle w:val="a5"/>
                  <w:rFonts w:ascii="Times New Roman" w:hAnsi="Times New Roman" w:cs="Times New Roman"/>
                  <w:sz w:val="24"/>
                  <w:szCs w:val="24"/>
                </w:rPr>
                <w:t>законом</w:t>
              </w:r>
            </w:hyperlink>
            <w:r w:rsidRPr="00E603FD">
              <w:rPr>
                <w:rFonts w:ascii="Times New Roman" w:hAnsi="Times New Roman" w:cs="Times New Roman"/>
                <w:sz w:val="24"/>
                <w:szCs w:val="24"/>
              </w:rPr>
              <w:t>.</w:t>
            </w:r>
          </w:p>
        </w:tc>
      </w:tr>
      <w:tr w:rsidR="005D71E9" w:rsidTr="005D71E9">
        <w:trPr>
          <w:trHeight w:val="1129"/>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123</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1. Разбирательство дел во всех судах открытое. Слушание дела в закрытом заседании допускается в случаях, предусмотренных федеральным законом.</w:t>
            </w:r>
          </w:p>
          <w:p w:rsidR="005D71E9" w:rsidRPr="00E603FD" w:rsidRDefault="005D71E9" w:rsidP="00E603FD">
            <w:pPr>
              <w:ind w:firstLine="567"/>
              <w:rPr>
                <w:rFonts w:ascii="Times New Roman" w:hAnsi="Times New Roman" w:cs="Times New Roman"/>
                <w:sz w:val="24"/>
                <w:szCs w:val="24"/>
              </w:rPr>
            </w:pPr>
            <w:bookmarkStart w:id="5" w:name="dst100541"/>
            <w:bookmarkEnd w:id="5"/>
            <w:r w:rsidRPr="00E603FD">
              <w:rPr>
                <w:rFonts w:ascii="Times New Roman" w:hAnsi="Times New Roman" w:cs="Times New Roman"/>
                <w:sz w:val="24"/>
                <w:szCs w:val="24"/>
              </w:rPr>
              <w:t>2. Заочное разбирательство уголовных дел в судах не допускается, кроме случаев, предусмотренных федеральным </w:t>
            </w:r>
            <w:hyperlink r:id="rId5" w:anchor="dst101831" w:history="1">
              <w:r w:rsidRPr="00E603FD">
                <w:rPr>
                  <w:rStyle w:val="a5"/>
                  <w:rFonts w:ascii="Times New Roman" w:hAnsi="Times New Roman" w:cs="Times New Roman"/>
                  <w:sz w:val="24"/>
                  <w:szCs w:val="24"/>
                </w:rPr>
                <w:t>законом</w:t>
              </w:r>
            </w:hyperlink>
            <w:r w:rsidRPr="00E603FD">
              <w:rPr>
                <w:rFonts w:ascii="Times New Roman" w:hAnsi="Times New Roman" w:cs="Times New Roman"/>
                <w:sz w:val="24"/>
                <w:szCs w:val="24"/>
              </w:rPr>
              <w:t>.</w:t>
            </w:r>
          </w:p>
          <w:p w:rsidR="005D71E9" w:rsidRPr="00E603FD" w:rsidRDefault="005D71E9" w:rsidP="00E603FD">
            <w:pPr>
              <w:ind w:firstLine="567"/>
              <w:rPr>
                <w:rFonts w:ascii="Times New Roman" w:hAnsi="Times New Roman" w:cs="Times New Roman"/>
                <w:sz w:val="24"/>
                <w:szCs w:val="24"/>
              </w:rPr>
            </w:pPr>
            <w:bookmarkStart w:id="6" w:name="dst100542"/>
            <w:bookmarkEnd w:id="6"/>
            <w:r w:rsidRPr="00E603FD">
              <w:rPr>
                <w:rFonts w:ascii="Times New Roman" w:hAnsi="Times New Roman" w:cs="Times New Roman"/>
                <w:sz w:val="24"/>
                <w:szCs w:val="24"/>
              </w:rPr>
              <w:t>3. Судопроизводство осуществляется на основе состязательности и равноправия сторон.</w:t>
            </w:r>
          </w:p>
          <w:p w:rsidR="005D71E9" w:rsidRPr="00E603FD" w:rsidRDefault="005D71E9" w:rsidP="00E603FD">
            <w:pPr>
              <w:ind w:firstLine="567"/>
              <w:rPr>
                <w:rFonts w:ascii="Times New Roman" w:hAnsi="Times New Roman" w:cs="Times New Roman"/>
                <w:sz w:val="24"/>
                <w:szCs w:val="24"/>
              </w:rPr>
            </w:pPr>
            <w:bookmarkStart w:id="7" w:name="dst100543"/>
            <w:bookmarkEnd w:id="7"/>
            <w:r w:rsidRPr="00E603FD">
              <w:rPr>
                <w:rFonts w:ascii="Times New Roman" w:hAnsi="Times New Roman" w:cs="Times New Roman"/>
                <w:sz w:val="24"/>
                <w:szCs w:val="24"/>
              </w:rPr>
              <w:t>4. В случаях, предусмотренных федеральным </w:t>
            </w:r>
            <w:hyperlink r:id="rId6" w:anchor="dst284" w:history="1">
              <w:r w:rsidRPr="00E603FD">
                <w:rPr>
                  <w:rStyle w:val="a5"/>
                  <w:rFonts w:ascii="Times New Roman" w:hAnsi="Times New Roman" w:cs="Times New Roman"/>
                  <w:sz w:val="24"/>
                  <w:szCs w:val="24"/>
                </w:rPr>
                <w:t>законом</w:t>
              </w:r>
            </w:hyperlink>
            <w:r w:rsidRPr="00E603FD">
              <w:rPr>
                <w:rFonts w:ascii="Times New Roman" w:hAnsi="Times New Roman" w:cs="Times New Roman"/>
                <w:sz w:val="24"/>
                <w:szCs w:val="24"/>
              </w:rPr>
              <w:t>, судопроизводство осуществляется с участием присяжных заседателей.</w:t>
            </w:r>
          </w:p>
          <w:p w:rsidR="005D71E9" w:rsidRPr="00E603FD" w:rsidRDefault="005D71E9" w:rsidP="00E603FD">
            <w:pPr>
              <w:ind w:firstLine="567"/>
              <w:rPr>
                <w:rFonts w:ascii="Times New Roman" w:hAnsi="Times New Roman" w:cs="Times New Roman"/>
                <w:sz w:val="24"/>
                <w:szCs w:val="24"/>
              </w:rPr>
            </w:pPr>
          </w:p>
        </w:tc>
      </w:tr>
      <w:tr w:rsidR="005D71E9" w:rsidTr="005D71E9">
        <w:trPr>
          <w:trHeight w:val="1129"/>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124</w:t>
            </w:r>
          </w:p>
        </w:tc>
        <w:tc>
          <w:tcPr>
            <w:tcW w:w="12707" w:type="dxa"/>
          </w:tcPr>
          <w:p w:rsidR="005D71E9" w:rsidRPr="00E603FD" w:rsidRDefault="00374EB8" w:rsidP="00E603FD">
            <w:pPr>
              <w:ind w:firstLine="567"/>
              <w:rPr>
                <w:rFonts w:ascii="Times New Roman" w:hAnsi="Times New Roman" w:cs="Times New Roman"/>
                <w:sz w:val="24"/>
                <w:szCs w:val="24"/>
              </w:rPr>
            </w:pPr>
            <w:hyperlink r:id="rId7" w:history="1">
              <w:r w:rsidR="005D71E9" w:rsidRPr="00E603FD">
                <w:rPr>
                  <w:rStyle w:val="a5"/>
                  <w:rFonts w:ascii="Times New Roman" w:hAnsi="Times New Roman" w:cs="Times New Roman"/>
                  <w:sz w:val="24"/>
                  <w:szCs w:val="24"/>
                </w:rPr>
                <w:t>Финансирование</w:t>
              </w:r>
            </w:hyperlink>
            <w:r w:rsidR="005D71E9" w:rsidRPr="00E603FD">
              <w:rPr>
                <w:rFonts w:ascii="Times New Roman" w:hAnsi="Times New Roman" w:cs="Times New Roman"/>
                <w:sz w:val="24"/>
                <w:szCs w:val="24"/>
              </w:rPr>
              <w:t> судов производится только из федерального бюджета и должно обеспечивать возможность полного и независимого осуществления правосудия в соответствии с федеральным законом.</w:t>
            </w:r>
          </w:p>
        </w:tc>
      </w:tr>
      <w:tr w:rsidR="005D71E9" w:rsidTr="005D71E9">
        <w:trPr>
          <w:trHeight w:val="1129"/>
        </w:trPr>
        <w:tc>
          <w:tcPr>
            <w:tcW w:w="2263" w:type="dxa"/>
          </w:tcPr>
          <w:p w:rsidR="005D71E9" w:rsidRP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lastRenderedPageBreak/>
              <w:t>Статья 125</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1. Конституционный Суд Российской Федерации состоит из 19 судей.</w:t>
            </w:r>
          </w:p>
          <w:p w:rsidR="005D71E9" w:rsidRPr="00E603FD" w:rsidRDefault="005D71E9" w:rsidP="00E603FD">
            <w:pPr>
              <w:ind w:firstLine="567"/>
              <w:rPr>
                <w:rFonts w:ascii="Times New Roman" w:hAnsi="Times New Roman" w:cs="Times New Roman"/>
                <w:sz w:val="24"/>
                <w:szCs w:val="24"/>
              </w:rPr>
            </w:pPr>
            <w:bookmarkStart w:id="8" w:name="1252"/>
            <w:bookmarkEnd w:id="8"/>
            <w:r w:rsidRPr="00E603FD">
              <w:rPr>
                <w:rFonts w:ascii="Times New Roman" w:hAnsi="Times New Roman" w:cs="Times New Roman"/>
                <w:sz w:val="24"/>
                <w:szCs w:val="24"/>
              </w:rPr>
              <w:t>2. Конституционный Суд Российской Федерации по запросам Президента Российской Федерации, Совета Федерации, Государственной Думы, одной пятой членов Совета Федерации или депутатов Государственной Думы, Правительства Российской Федерации, Верховного Суда Российской Федерации, органов законодательной и исполнительной власти субъектов Российской Федерации разрешает дела о соответствии Конституции Российской Федерации: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а) федеральных законов, нормативных актов Президента Российской Федерации, Совета Федерации, Государственной Думы, Правительства Российской Федерации;</w:t>
            </w:r>
          </w:p>
          <w:p w:rsidR="005D71E9" w:rsidRPr="00E603FD" w:rsidRDefault="005D71E9" w:rsidP="00E603FD">
            <w:pPr>
              <w:ind w:firstLine="567"/>
              <w:rPr>
                <w:rFonts w:ascii="Times New Roman" w:hAnsi="Times New Roman" w:cs="Times New Roman"/>
                <w:sz w:val="24"/>
                <w:szCs w:val="24"/>
              </w:rPr>
            </w:pPr>
            <w:bookmarkStart w:id="9" w:name="12522"/>
            <w:bookmarkEnd w:id="9"/>
            <w:r w:rsidRPr="00E603FD">
              <w:rPr>
                <w:rFonts w:ascii="Times New Roman" w:hAnsi="Times New Roman" w:cs="Times New Roman"/>
                <w:sz w:val="24"/>
                <w:szCs w:val="24"/>
              </w:rPr>
              <w:t>б)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в) договоров между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г) не вступивших в силу международных договоров Российской Федерации.</w:t>
            </w:r>
          </w:p>
          <w:p w:rsidR="005D71E9" w:rsidRPr="00E603FD" w:rsidRDefault="005D71E9" w:rsidP="00E603FD">
            <w:pPr>
              <w:ind w:firstLine="567"/>
              <w:rPr>
                <w:rFonts w:ascii="Times New Roman" w:hAnsi="Times New Roman" w:cs="Times New Roman"/>
                <w:sz w:val="24"/>
                <w:szCs w:val="24"/>
              </w:rPr>
            </w:pPr>
            <w:bookmarkStart w:id="10" w:name="1253"/>
            <w:bookmarkEnd w:id="10"/>
            <w:r w:rsidRPr="00E603FD">
              <w:rPr>
                <w:rFonts w:ascii="Times New Roman" w:hAnsi="Times New Roman" w:cs="Times New Roman"/>
                <w:sz w:val="24"/>
                <w:szCs w:val="24"/>
              </w:rPr>
              <w:t>3. Конституционный Суд Российской Федерации разрешает споры о компетенции: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а) между федеральными органами государственной власти;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б) между органами государственной власти Российской Федерации и органами государственной власти субъектов Российской Федерации;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в) между высшими государственными органами субъектов Российской Федерации.</w:t>
            </w:r>
          </w:p>
          <w:p w:rsidR="005D71E9" w:rsidRPr="00E603FD" w:rsidRDefault="005D71E9" w:rsidP="00E603FD">
            <w:pPr>
              <w:ind w:firstLine="567"/>
              <w:rPr>
                <w:rFonts w:ascii="Times New Roman" w:hAnsi="Times New Roman" w:cs="Times New Roman"/>
                <w:sz w:val="24"/>
                <w:szCs w:val="24"/>
              </w:rPr>
            </w:pPr>
            <w:bookmarkStart w:id="11" w:name="1254"/>
            <w:bookmarkEnd w:id="11"/>
            <w:r w:rsidRPr="00E603FD">
              <w:rPr>
                <w:rFonts w:ascii="Times New Roman" w:hAnsi="Times New Roman" w:cs="Times New Roman"/>
                <w:sz w:val="24"/>
                <w:szCs w:val="24"/>
              </w:rPr>
              <w:t>4. Конституционный Суд Российской Федерации по жалобам на нарушение конституционных прав и свобод граждан и по запросам судов проверяет конституционность закона, примененного или подлежащего применению в конкретном деле, в порядке, установленном федеральным законом.</w:t>
            </w:r>
          </w:p>
          <w:p w:rsidR="005D71E9" w:rsidRPr="00E603FD" w:rsidRDefault="005D71E9" w:rsidP="00E603FD">
            <w:pPr>
              <w:ind w:firstLine="567"/>
              <w:rPr>
                <w:rFonts w:ascii="Times New Roman" w:hAnsi="Times New Roman" w:cs="Times New Roman"/>
                <w:sz w:val="24"/>
                <w:szCs w:val="24"/>
              </w:rPr>
            </w:pPr>
            <w:bookmarkStart w:id="12" w:name="1255"/>
            <w:bookmarkEnd w:id="12"/>
            <w:r w:rsidRPr="00E603FD">
              <w:rPr>
                <w:rFonts w:ascii="Times New Roman" w:hAnsi="Times New Roman" w:cs="Times New Roman"/>
                <w:sz w:val="24"/>
                <w:szCs w:val="24"/>
              </w:rPr>
              <w:t>5. Конституционный Суд Российской Федерации по запросам Президента Российской Федерации, Совета Федерации, Государственной Думы, Правительства Российской Федерации, органов законодательной власти субъектов Российской Федерации дает толкование Конституции Российской Федерации.</w:t>
            </w:r>
          </w:p>
          <w:p w:rsidR="005D71E9" w:rsidRPr="00E603FD" w:rsidRDefault="005D71E9" w:rsidP="00E603FD">
            <w:pPr>
              <w:ind w:firstLine="567"/>
              <w:rPr>
                <w:rFonts w:ascii="Times New Roman" w:hAnsi="Times New Roman" w:cs="Times New Roman"/>
                <w:sz w:val="24"/>
                <w:szCs w:val="24"/>
              </w:rPr>
            </w:pPr>
            <w:bookmarkStart w:id="13" w:name="1256"/>
            <w:bookmarkEnd w:id="13"/>
            <w:r w:rsidRPr="00E603FD">
              <w:rPr>
                <w:rFonts w:ascii="Times New Roman" w:hAnsi="Times New Roman" w:cs="Times New Roman"/>
                <w:sz w:val="24"/>
                <w:szCs w:val="24"/>
              </w:rPr>
              <w:t>6. Акты или их отдельные положения, признанные неконституционными, утрачивают силу; не соответствующие Конституции Российской Федерации международные договоры Российской Федерации не подлежат введению в действие и применению.</w:t>
            </w:r>
          </w:p>
          <w:p w:rsidR="005D71E9" w:rsidRPr="00E603FD" w:rsidRDefault="005D71E9" w:rsidP="00E603FD">
            <w:pPr>
              <w:ind w:firstLine="567"/>
              <w:rPr>
                <w:rFonts w:ascii="Times New Roman" w:hAnsi="Times New Roman" w:cs="Times New Roman"/>
                <w:sz w:val="24"/>
                <w:szCs w:val="24"/>
              </w:rPr>
            </w:pPr>
            <w:bookmarkStart w:id="14" w:name="1257"/>
            <w:bookmarkEnd w:id="14"/>
            <w:r w:rsidRPr="00E603FD">
              <w:rPr>
                <w:rFonts w:ascii="Times New Roman" w:hAnsi="Times New Roman" w:cs="Times New Roman"/>
                <w:sz w:val="24"/>
                <w:szCs w:val="24"/>
              </w:rPr>
              <w:t>7. Конституционный Суд Российской Федерации по запросу Совета Федерации дает заключение о соблюдении установленного порядка выдвижения обвинения Президента Российской Федерации в государственной измене или совершении иного тяжкого преступления.</w:t>
            </w:r>
          </w:p>
          <w:p w:rsidR="005D71E9" w:rsidRPr="00E603FD" w:rsidRDefault="00374EB8" w:rsidP="00E603FD">
            <w:pPr>
              <w:ind w:firstLine="567"/>
              <w:rPr>
                <w:rFonts w:ascii="Times New Roman" w:hAnsi="Times New Roman" w:cs="Times New Roman"/>
                <w:i/>
                <w:iCs/>
                <w:sz w:val="24"/>
                <w:szCs w:val="24"/>
              </w:rPr>
            </w:pPr>
            <w:hyperlink r:id="rId8" w:history="1">
              <w:r w:rsidR="005D71E9" w:rsidRPr="00E603FD">
                <w:rPr>
                  <w:rStyle w:val="a5"/>
                  <w:rFonts w:ascii="Times New Roman" w:hAnsi="Times New Roman" w:cs="Times New Roman"/>
                  <w:i/>
                  <w:iCs/>
                  <w:sz w:val="24"/>
                  <w:szCs w:val="24"/>
                </w:rPr>
                <w:t>Постановление Конституционного Суда РФ по делу о толковании отдельных положений статей 125, 126 и 127</w:t>
              </w:r>
            </w:hyperlink>
          </w:p>
        </w:tc>
      </w:tr>
      <w:tr w:rsidR="005D71E9" w:rsidTr="005D71E9">
        <w:trPr>
          <w:trHeight w:val="1129"/>
        </w:trPr>
        <w:tc>
          <w:tcPr>
            <w:tcW w:w="2263" w:type="dxa"/>
          </w:tcPr>
          <w:p w:rsid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lastRenderedPageBreak/>
              <w:t>Статья 126</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Верховный Суд Российской Федерации является высшим судебным органом по гражданским, уголовным, административным и иным делам, подсудным судам общей юрисдикции, осуществляет в предусмотренных федеральным законом процессуальных формах судебный надзор за их деятельностью и дает разъяснения по вопросам судебной практики.</w:t>
            </w:r>
          </w:p>
          <w:p w:rsidR="005D71E9" w:rsidRPr="00E603FD" w:rsidRDefault="00374EB8" w:rsidP="00E603FD">
            <w:pPr>
              <w:ind w:firstLine="567"/>
              <w:rPr>
                <w:rFonts w:ascii="Times New Roman" w:hAnsi="Times New Roman" w:cs="Times New Roman"/>
                <w:i/>
                <w:iCs/>
                <w:sz w:val="24"/>
                <w:szCs w:val="24"/>
              </w:rPr>
            </w:pPr>
            <w:hyperlink r:id="rId9" w:history="1">
              <w:r w:rsidR="005D71E9" w:rsidRPr="00E603FD">
                <w:rPr>
                  <w:rStyle w:val="a5"/>
                  <w:rFonts w:ascii="Times New Roman" w:hAnsi="Times New Roman" w:cs="Times New Roman"/>
                  <w:i/>
                  <w:iCs/>
                  <w:sz w:val="24"/>
                  <w:szCs w:val="24"/>
                </w:rPr>
                <w:t>Постановление Конституционного Суда РФ по делу о толковании отдельных положений статей 125, 126 и 127</w:t>
              </w:r>
            </w:hyperlink>
          </w:p>
        </w:tc>
      </w:tr>
      <w:tr w:rsidR="005D71E9" w:rsidTr="005D71E9">
        <w:trPr>
          <w:trHeight w:val="1129"/>
        </w:trPr>
        <w:tc>
          <w:tcPr>
            <w:tcW w:w="2263" w:type="dxa"/>
          </w:tcPr>
          <w:p w:rsid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127</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Исключена поправкой к Конституции Российской Федерации (Закон Российской Федерации о поправке к Конституции Российской Федерации "О Верховном Суде Российской Федерации и прокуратуре Российской Федерации").</w:t>
            </w:r>
          </w:p>
        </w:tc>
      </w:tr>
      <w:tr w:rsidR="005D71E9" w:rsidTr="005D71E9">
        <w:trPr>
          <w:trHeight w:val="1129"/>
        </w:trPr>
        <w:tc>
          <w:tcPr>
            <w:tcW w:w="2263" w:type="dxa"/>
          </w:tcPr>
          <w:p w:rsid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128</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1. Судьи Конституционного Суда Российской Федерации, Верховного Суда Российской Федерации назначаются Советом Федерации по представлению Президента Российской Федерации.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2. Судьи других федеральных судов назначаются Президентом Российской Федерации в порядке, установленном федеральным законом.</w:t>
            </w:r>
          </w:p>
          <w:p w:rsidR="005D71E9" w:rsidRPr="00E603FD" w:rsidRDefault="005D71E9" w:rsidP="00E603FD">
            <w:pPr>
              <w:ind w:firstLine="567"/>
              <w:rPr>
                <w:rFonts w:ascii="Times New Roman" w:hAnsi="Times New Roman" w:cs="Times New Roman"/>
                <w:sz w:val="24"/>
                <w:szCs w:val="24"/>
              </w:rPr>
            </w:pPr>
            <w:bookmarkStart w:id="15" w:name="1283"/>
            <w:bookmarkEnd w:id="15"/>
            <w:r w:rsidRPr="00E603FD">
              <w:rPr>
                <w:rFonts w:ascii="Times New Roman" w:hAnsi="Times New Roman" w:cs="Times New Roman"/>
                <w:sz w:val="24"/>
                <w:szCs w:val="24"/>
              </w:rPr>
              <w:t>3. Полномочия, порядок образования и деятельности Конституционного Суда Российской Федерации, Верховного Суда Российской Федерации и иных федеральных судов устанавливаются федеральным конституционным законом.</w:t>
            </w:r>
          </w:p>
        </w:tc>
      </w:tr>
      <w:tr w:rsidR="005D71E9" w:rsidTr="005D71E9">
        <w:trPr>
          <w:trHeight w:val="1129"/>
        </w:trPr>
        <w:tc>
          <w:tcPr>
            <w:tcW w:w="2263" w:type="dxa"/>
          </w:tcPr>
          <w:p w:rsidR="005D71E9" w:rsidRDefault="005D71E9" w:rsidP="005D71E9">
            <w:pPr>
              <w:jc w:val="center"/>
              <w:rPr>
                <w:rFonts w:ascii="Times New Roman" w:hAnsi="Times New Roman" w:cs="Times New Roman"/>
                <w:sz w:val="24"/>
                <w:szCs w:val="24"/>
              </w:rPr>
            </w:pPr>
            <w:r>
              <w:rPr>
                <w:rFonts w:ascii="Times New Roman" w:hAnsi="Times New Roman" w:cs="Times New Roman"/>
                <w:sz w:val="24"/>
                <w:szCs w:val="24"/>
              </w:rPr>
              <w:t>Статья 129</w:t>
            </w:r>
          </w:p>
        </w:tc>
        <w:tc>
          <w:tcPr>
            <w:tcW w:w="12707" w:type="dxa"/>
          </w:tcPr>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1. Полномочия, организация и порядок деятельности прокуратуры Российской Федерации определяются федеральным законом.</w:t>
            </w:r>
          </w:p>
          <w:p w:rsidR="005D71E9" w:rsidRPr="00E603FD" w:rsidRDefault="005D71E9" w:rsidP="00E603FD">
            <w:pPr>
              <w:ind w:firstLine="567"/>
              <w:rPr>
                <w:rFonts w:ascii="Times New Roman" w:hAnsi="Times New Roman" w:cs="Times New Roman"/>
                <w:sz w:val="24"/>
                <w:szCs w:val="24"/>
              </w:rPr>
            </w:pPr>
            <w:bookmarkStart w:id="16" w:name="1292"/>
            <w:bookmarkEnd w:id="16"/>
            <w:r w:rsidRPr="00E603FD">
              <w:rPr>
                <w:rFonts w:ascii="Times New Roman" w:hAnsi="Times New Roman" w:cs="Times New Roman"/>
                <w:sz w:val="24"/>
                <w:szCs w:val="24"/>
              </w:rPr>
              <w:t>2. Генеральный прокурор Российской Федерации и заместители Генерального прокурора Российской Федерации назначаются на должность и освобождаются от должности Советом Федерации по представлению Президента Российской Федерации.</w:t>
            </w:r>
          </w:p>
          <w:p w:rsidR="005D71E9" w:rsidRPr="00E603FD" w:rsidRDefault="005D71E9" w:rsidP="00E603FD">
            <w:pPr>
              <w:ind w:firstLine="567"/>
              <w:rPr>
                <w:rFonts w:ascii="Times New Roman" w:hAnsi="Times New Roman" w:cs="Times New Roman"/>
                <w:sz w:val="24"/>
                <w:szCs w:val="24"/>
              </w:rPr>
            </w:pPr>
            <w:bookmarkStart w:id="17" w:name="1293"/>
            <w:bookmarkEnd w:id="17"/>
            <w:r w:rsidRPr="00E603FD">
              <w:rPr>
                <w:rFonts w:ascii="Times New Roman" w:hAnsi="Times New Roman" w:cs="Times New Roman"/>
                <w:sz w:val="24"/>
                <w:szCs w:val="24"/>
              </w:rPr>
              <w:t>3. Прокуроры субъектов Российской Федерации назначаются на должность Президентом Российской Федерации по представлению Генерального прокурора Российской Федерации, согласованному с субъектами Российской Федерации. Прокуроры субъектов Российской Федерации освобождаются от должности Президентом Российской Федерации.</w:t>
            </w:r>
          </w:p>
          <w:p w:rsidR="005D71E9" w:rsidRPr="00E603FD" w:rsidRDefault="005D71E9" w:rsidP="00E603FD">
            <w:pPr>
              <w:ind w:firstLine="567"/>
              <w:rPr>
                <w:rFonts w:ascii="Times New Roman" w:hAnsi="Times New Roman" w:cs="Times New Roman"/>
                <w:sz w:val="24"/>
                <w:szCs w:val="24"/>
              </w:rPr>
            </w:pPr>
            <w:r w:rsidRPr="00E603FD">
              <w:rPr>
                <w:rFonts w:ascii="Times New Roman" w:hAnsi="Times New Roman" w:cs="Times New Roman"/>
                <w:sz w:val="24"/>
                <w:szCs w:val="24"/>
              </w:rPr>
              <w:t>4. Иные прокуроры, кроме прокуроров городов, районов и приравненных к ним прокуроров, назначаются на должность и освобождаются от должности Президентом Российской Федерации.</w:t>
            </w:r>
          </w:p>
          <w:p w:rsidR="005D71E9" w:rsidRPr="00E603FD" w:rsidRDefault="005D71E9" w:rsidP="00E603FD">
            <w:pPr>
              <w:ind w:firstLine="567"/>
              <w:rPr>
                <w:rFonts w:ascii="Times New Roman" w:hAnsi="Times New Roman" w:cs="Times New Roman"/>
                <w:sz w:val="24"/>
                <w:szCs w:val="24"/>
              </w:rPr>
            </w:pPr>
            <w:bookmarkStart w:id="18" w:name="1295"/>
            <w:bookmarkEnd w:id="18"/>
            <w:r w:rsidRPr="00E603FD">
              <w:rPr>
                <w:rFonts w:ascii="Times New Roman" w:hAnsi="Times New Roman" w:cs="Times New Roman"/>
                <w:sz w:val="24"/>
                <w:szCs w:val="24"/>
              </w:rPr>
              <w:t>5. Прокуроры городов, районов и приравненные к ним прокуроры назначаются на должность и освобождаются от должности Генеральным прокурором Российской Федерации.</w:t>
            </w:r>
          </w:p>
        </w:tc>
      </w:tr>
    </w:tbl>
    <w:p w:rsidR="00374EB8" w:rsidRDefault="00374EB8">
      <w:pPr>
        <w:rPr>
          <w:lang w:val="en-US"/>
        </w:rPr>
      </w:pPr>
    </w:p>
    <w:p w:rsidR="00374EB8" w:rsidRPr="00374EB8" w:rsidRDefault="00374EB8">
      <w:r w:rsidRPr="00374EB8">
        <w:lastRenderedPageBreak/>
        <w:t>ГЛАВА 7.СУДЕБНАЯ ВЛАСТЬ (118-129 ст.)</w:t>
      </w:r>
      <w:bookmarkStart w:id="19" w:name="_GoBack"/>
      <w:bookmarkEnd w:id="19"/>
      <w:r w:rsidRPr="00374EB8">
        <w:br/>
        <w:t>Статья 118 Правосудие, судопроизводство, суд.</w:t>
      </w:r>
      <w:r w:rsidRPr="00374EB8">
        <w:br/>
        <w:t>Статья 119 Требования к Судьям.</w:t>
      </w:r>
      <w:r w:rsidRPr="00374EB8">
        <w:br/>
        <w:t>Статья 120 Независимость и подчинение.</w:t>
      </w:r>
      <w:r w:rsidRPr="00374EB8">
        <w:br/>
        <w:t>Статья 121 Несменяемость и полномочия.</w:t>
      </w:r>
      <w:r w:rsidRPr="00374EB8">
        <w:br/>
        <w:t>Статья 122 Неприкосновенность (уголовная ответственность).</w:t>
      </w:r>
      <w:r w:rsidRPr="00374EB8">
        <w:br/>
        <w:t xml:space="preserve">Статья 123 Открытость, </w:t>
      </w:r>
      <w:proofErr w:type="spellStart"/>
      <w:r w:rsidRPr="00374EB8">
        <w:t>заочность</w:t>
      </w:r>
      <w:proofErr w:type="spellEnd"/>
      <w:r w:rsidRPr="00374EB8">
        <w:t>, состязательность и равноправие сторон (присяжные заседатели).</w:t>
      </w:r>
      <w:r w:rsidRPr="00374EB8">
        <w:br/>
        <w:t>Статья 124 Финансирование судов</w:t>
      </w:r>
      <w:r w:rsidRPr="00374EB8">
        <w:br/>
        <w:t>Статья 125 Состав Конституционного Суда (19 судей). Основные задачи (4).компетенции:</w:t>
      </w:r>
      <w:r w:rsidRPr="00374EB8">
        <w:br/>
        <w:t>Статья 126 Верховный Суд задачи, компетенции.</w:t>
      </w:r>
      <w:r w:rsidRPr="00374EB8">
        <w:br/>
        <w:t>Статья 127 Высший Арбитражный Суд задачи, Полномочия.</w:t>
      </w:r>
      <w:r w:rsidRPr="00374EB8">
        <w:br/>
        <w:t>Статья 128 Назначение Судей.</w:t>
      </w:r>
      <w:r w:rsidRPr="00374EB8">
        <w:br/>
        <w:t>Статья 129 Прокуратура задачи, Полномочия, Назначение.</w:t>
      </w:r>
    </w:p>
    <w:sectPr w:rsidR="00374EB8" w:rsidRPr="00374EB8" w:rsidSect="00374EB8">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E9"/>
    <w:rsid w:val="001D08BA"/>
    <w:rsid w:val="00374EB8"/>
    <w:rsid w:val="005D71E9"/>
    <w:rsid w:val="00BD2DE3"/>
    <w:rsid w:val="00E60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B872"/>
  <w15:chartTrackingRefBased/>
  <w15:docId w15:val="{9718BF64-44BB-4A60-B0BE-3F230C98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7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5D71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5D7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8286">
      <w:bodyDiv w:val="1"/>
      <w:marLeft w:val="0"/>
      <w:marRight w:val="0"/>
      <w:marTop w:val="0"/>
      <w:marBottom w:val="0"/>
      <w:divBdr>
        <w:top w:val="none" w:sz="0" w:space="0" w:color="auto"/>
        <w:left w:val="none" w:sz="0" w:space="0" w:color="auto"/>
        <w:bottom w:val="none" w:sz="0" w:space="0" w:color="auto"/>
        <w:right w:val="none" w:sz="0" w:space="0" w:color="auto"/>
      </w:divBdr>
      <w:divsChild>
        <w:div w:id="1914971443">
          <w:marLeft w:val="0"/>
          <w:marRight w:val="0"/>
          <w:marTop w:val="192"/>
          <w:marBottom w:val="0"/>
          <w:divBdr>
            <w:top w:val="none" w:sz="0" w:space="0" w:color="auto"/>
            <w:left w:val="none" w:sz="0" w:space="0" w:color="auto"/>
            <w:bottom w:val="none" w:sz="0" w:space="0" w:color="auto"/>
            <w:right w:val="none" w:sz="0" w:space="0" w:color="auto"/>
          </w:divBdr>
        </w:div>
        <w:div w:id="759447262">
          <w:marLeft w:val="0"/>
          <w:marRight w:val="0"/>
          <w:marTop w:val="192"/>
          <w:marBottom w:val="0"/>
          <w:divBdr>
            <w:top w:val="none" w:sz="0" w:space="0" w:color="auto"/>
            <w:left w:val="none" w:sz="0" w:space="0" w:color="auto"/>
            <w:bottom w:val="none" w:sz="0" w:space="0" w:color="auto"/>
            <w:right w:val="none" w:sz="0" w:space="0" w:color="auto"/>
          </w:divBdr>
        </w:div>
        <w:div w:id="1919827912">
          <w:marLeft w:val="0"/>
          <w:marRight w:val="0"/>
          <w:marTop w:val="192"/>
          <w:marBottom w:val="0"/>
          <w:divBdr>
            <w:top w:val="none" w:sz="0" w:space="0" w:color="auto"/>
            <w:left w:val="none" w:sz="0" w:space="0" w:color="auto"/>
            <w:bottom w:val="none" w:sz="0" w:space="0" w:color="auto"/>
            <w:right w:val="none" w:sz="0" w:space="0" w:color="auto"/>
          </w:divBdr>
        </w:div>
        <w:div w:id="1843548202">
          <w:marLeft w:val="0"/>
          <w:marRight w:val="0"/>
          <w:marTop w:val="192"/>
          <w:marBottom w:val="0"/>
          <w:divBdr>
            <w:top w:val="none" w:sz="0" w:space="0" w:color="auto"/>
            <w:left w:val="none" w:sz="0" w:space="0" w:color="auto"/>
            <w:bottom w:val="none" w:sz="0" w:space="0" w:color="auto"/>
            <w:right w:val="none" w:sz="0" w:space="0" w:color="auto"/>
          </w:divBdr>
        </w:div>
      </w:divsChild>
    </w:div>
    <w:div w:id="70083598">
      <w:bodyDiv w:val="1"/>
      <w:marLeft w:val="0"/>
      <w:marRight w:val="0"/>
      <w:marTop w:val="0"/>
      <w:marBottom w:val="0"/>
      <w:divBdr>
        <w:top w:val="none" w:sz="0" w:space="0" w:color="auto"/>
        <w:left w:val="none" w:sz="0" w:space="0" w:color="auto"/>
        <w:bottom w:val="none" w:sz="0" w:space="0" w:color="auto"/>
        <w:right w:val="none" w:sz="0" w:space="0" w:color="auto"/>
      </w:divBdr>
    </w:div>
    <w:div w:id="83918544">
      <w:bodyDiv w:val="1"/>
      <w:marLeft w:val="0"/>
      <w:marRight w:val="0"/>
      <w:marTop w:val="0"/>
      <w:marBottom w:val="0"/>
      <w:divBdr>
        <w:top w:val="none" w:sz="0" w:space="0" w:color="auto"/>
        <w:left w:val="none" w:sz="0" w:space="0" w:color="auto"/>
        <w:bottom w:val="none" w:sz="0" w:space="0" w:color="auto"/>
        <w:right w:val="none" w:sz="0" w:space="0" w:color="auto"/>
      </w:divBdr>
      <w:divsChild>
        <w:div w:id="300231468">
          <w:marLeft w:val="0"/>
          <w:marRight w:val="0"/>
          <w:marTop w:val="192"/>
          <w:marBottom w:val="0"/>
          <w:divBdr>
            <w:top w:val="none" w:sz="0" w:space="0" w:color="auto"/>
            <w:left w:val="none" w:sz="0" w:space="0" w:color="auto"/>
            <w:bottom w:val="none" w:sz="0" w:space="0" w:color="auto"/>
            <w:right w:val="none" w:sz="0" w:space="0" w:color="auto"/>
          </w:divBdr>
        </w:div>
        <w:div w:id="1096169936">
          <w:marLeft w:val="0"/>
          <w:marRight w:val="0"/>
          <w:marTop w:val="192"/>
          <w:marBottom w:val="0"/>
          <w:divBdr>
            <w:top w:val="none" w:sz="0" w:space="0" w:color="auto"/>
            <w:left w:val="none" w:sz="0" w:space="0" w:color="auto"/>
            <w:bottom w:val="none" w:sz="0" w:space="0" w:color="auto"/>
            <w:right w:val="none" w:sz="0" w:space="0" w:color="auto"/>
          </w:divBdr>
        </w:div>
      </w:divsChild>
    </w:div>
    <w:div w:id="103038263">
      <w:bodyDiv w:val="1"/>
      <w:marLeft w:val="0"/>
      <w:marRight w:val="0"/>
      <w:marTop w:val="0"/>
      <w:marBottom w:val="0"/>
      <w:divBdr>
        <w:top w:val="none" w:sz="0" w:space="0" w:color="auto"/>
        <w:left w:val="none" w:sz="0" w:space="0" w:color="auto"/>
        <w:bottom w:val="none" w:sz="0" w:space="0" w:color="auto"/>
        <w:right w:val="none" w:sz="0" w:space="0" w:color="auto"/>
      </w:divBdr>
      <w:divsChild>
        <w:div w:id="54545707">
          <w:marLeft w:val="0"/>
          <w:marRight w:val="0"/>
          <w:marTop w:val="192"/>
          <w:marBottom w:val="0"/>
          <w:divBdr>
            <w:top w:val="none" w:sz="0" w:space="0" w:color="auto"/>
            <w:left w:val="none" w:sz="0" w:space="0" w:color="auto"/>
            <w:bottom w:val="none" w:sz="0" w:space="0" w:color="auto"/>
            <w:right w:val="none" w:sz="0" w:space="0" w:color="auto"/>
          </w:divBdr>
        </w:div>
        <w:div w:id="255134647">
          <w:marLeft w:val="0"/>
          <w:marRight w:val="0"/>
          <w:marTop w:val="192"/>
          <w:marBottom w:val="0"/>
          <w:divBdr>
            <w:top w:val="none" w:sz="0" w:space="0" w:color="auto"/>
            <w:left w:val="none" w:sz="0" w:space="0" w:color="auto"/>
            <w:bottom w:val="none" w:sz="0" w:space="0" w:color="auto"/>
            <w:right w:val="none" w:sz="0" w:space="0" w:color="auto"/>
          </w:divBdr>
        </w:div>
      </w:divsChild>
    </w:div>
    <w:div w:id="259801432">
      <w:bodyDiv w:val="1"/>
      <w:marLeft w:val="0"/>
      <w:marRight w:val="0"/>
      <w:marTop w:val="0"/>
      <w:marBottom w:val="0"/>
      <w:divBdr>
        <w:top w:val="none" w:sz="0" w:space="0" w:color="auto"/>
        <w:left w:val="none" w:sz="0" w:space="0" w:color="auto"/>
        <w:bottom w:val="none" w:sz="0" w:space="0" w:color="auto"/>
        <w:right w:val="none" w:sz="0" w:space="0" w:color="auto"/>
      </w:divBdr>
    </w:div>
    <w:div w:id="558786039">
      <w:bodyDiv w:val="1"/>
      <w:marLeft w:val="0"/>
      <w:marRight w:val="0"/>
      <w:marTop w:val="0"/>
      <w:marBottom w:val="0"/>
      <w:divBdr>
        <w:top w:val="none" w:sz="0" w:space="0" w:color="auto"/>
        <w:left w:val="none" w:sz="0" w:space="0" w:color="auto"/>
        <w:bottom w:val="none" w:sz="0" w:space="0" w:color="auto"/>
        <w:right w:val="none" w:sz="0" w:space="0" w:color="auto"/>
      </w:divBdr>
      <w:divsChild>
        <w:div w:id="827400275">
          <w:marLeft w:val="0"/>
          <w:marRight w:val="0"/>
          <w:marTop w:val="192"/>
          <w:marBottom w:val="0"/>
          <w:divBdr>
            <w:top w:val="none" w:sz="0" w:space="0" w:color="auto"/>
            <w:left w:val="none" w:sz="0" w:space="0" w:color="auto"/>
            <w:bottom w:val="none" w:sz="0" w:space="0" w:color="auto"/>
            <w:right w:val="none" w:sz="0" w:space="0" w:color="auto"/>
          </w:divBdr>
        </w:div>
        <w:div w:id="828134879">
          <w:marLeft w:val="0"/>
          <w:marRight w:val="0"/>
          <w:marTop w:val="192"/>
          <w:marBottom w:val="0"/>
          <w:divBdr>
            <w:top w:val="none" w:sz="0" w:space="0" w:color="auto"/>
            <w:left w:val="none" w:sz="0" w:space="0" w:color="auto"/>
            <w:bottom w:val="none" w:sz="0" w:space="0" w:color="auto"/>
            <w:right w:val="none" w:sz="0" w:space="0" w:color="auto"/>
          </w:divBdr>
        </w:div>
        <w:div w:id="1524172086">
          <w:marLeft w:val="0"/>
          <w:marRight w:val="0"/>
          <w:marTop w:val="192"/>
          <w:marBottom w:val="0"/>
          <w:divBdr>
            <w:top w:val="none" w:sz="0" w:space="0" w:color="auto"/>
            <w:left w:val="none" w:sz="0" w:space="0" w:color="auto"/>
            <w:bottom w:val="none" w:sz="0" w:space="0" w:color="auto"/>
            <w:right w:val="none" w:sz="0" w:space="0" w:color="auto"/>
          </w:divBdr>
        </w:div>
        <w:div w:id="1640068715">
          <w:marLeft w:val="0"/>
          <w:marRight w:val="0"/>
          <w:marTop w:val="192"/>
          <w:marBottom w:val="0"/>
          <w:divBdr>
            <w:top w:val="none" w:sz="0" w:space="0" w:color="auto"/>
            <w:left w:val="none" w:sz="0" w:space="0" w:color="auto"/>
            <w:bottom w:val="none" w:sz="0" w:space="0" w:color="auto"/>
            <w:right w:val="none" w:sz="0" w:space="0" w:color="auto"/>
          </w:divBdr>
        </w:div>
      </w:divsChild>
    </w:div>
    <w:div w:id="972904709">
      <w:bodyDiv w:val="1"/>
      <w:marLeft w:val="0"/>
      <w:marRight w:val="0"/>
      <w:marTop w:val="0"/>
      <w:marBottom w:val="0"/>
      <w:divBdr>
        <w:top w:val="none" w:sz="0" w:space="0" w:color="auto"/>
        <w:left w:val="none" w:sz="0" w:space="0" w:color="auto"/>
        <w:bottom w:val="none" w:sz="0" w:space="0" w:color="auto"/>
        <w:right w:val="none" w:sz="0" w:space="0" w:color="auto"/>
      </w:divBdr>
      <w:divsChild>
        <w:div w:id="124196951">
          <w:marLeft w:val="0"/>
          <w:marRight w:val="0"/>
          <w:marTop w:val="192"/>
          <w:marBottom w:val="0"/>
          <w:divBdr>
            <w:top w:val="none" w:sz="0" w:space="0" w:color="auto"/>
            <w:left w:val="none" w:sz="0" w:space="0" w:color="auto"/>
            <w:bottom w:val="none" w:sz="0" w:space="0" w:color="auto"/>
            <w:right w:val="none" w:sz="0" w:space="0" w:color="auto"/>
          </w:divBdr>
        </w:div>
        <w:div w:id="1420564970">
          <w:marLeft w:val="0"/>
          <w:marRight w:val="0"/>
          <w:marTop w:val="192"/>
          <w:marBottom w:val="0"/>
          <w:divBdr>
            <w:top w:val="none" w:sz="0" w:space="0" w:color="auto"/>
            <w:left w:val="none" w:sz="0" w:space="0" w:color="auto"/>
            <w:bottom w:val="none" w:sz="0" w:space="0" w:color="auto"/>
            <w:right w:val="none" w:sz="0" w:space="0" w:color="auto"/>
          </w:divBdr>
        </w:div>
      </w:divsChild>
    </w:div>
    <w:div w:id="1010528042">
      <w:bodyDiv w:val="1"/>
      <w:marLeft w:val="0"/>
      <w:marRight w:val="0"/>
      <w:marTop w:val="0"/>
      <w:marBottom w:val="0"/>
      <w:divBdr>
        <w:top w:val="none" w:sz="0" w:space="0" w:color="auto"/>
        <w:left w:val="none" w:sz="0" w:space="0" w:color="auto"/>
        <w:bottom w:val="none" w:sz="0" w:space="0" w:color="auto"/>
        <w:right w:val="none" w:sz="0" w:space="0" w:color="auto"/>
      </w:divBdr>
    </w:div>
    <w:div w:id="1089691327">
      <w:bodyDiv w:val="1"/>
      <w:marLeft w:val="0"/>
      <w:marRight w:val="0"/>
      <w:marTop w:val="0"/>
      <w:marBottom w:val="0"/>
      <w:divBdr>
        <w:top w:val="none" w:sz="0" w:space="0" w:color="auto"/>
        <w:left w:val="none" w:sz="0" w:space="0" w:color="auto"/>
        <w:bottom w:val="none" w:sz="0" w:space="0" w:color="auto"/>
        <w:right w:val="none" w:sz="0" w:space="0" w:color="auto"/>
      </w:divBdr>
    </w:div>
    <w:div w:id="1102799997">
      <w:bodyDiv w:val="1"/>
      <w:marLeft w:val="0"/>
      <w:marRight w:val="0"/>
      <w:marTop w:val="0"/>
      <w:marBottom w:val="0"/>
      <w:divBdr>
        <w:top w:val="none" w:sz="0" w:space="0" w:color="auto"/>
        <w:left w:val="none" w:sz="0" w:space="0" w:color="auto"/>
        <w:bottom w:val="none" w:sz="0" w:space="0" w:color="auto"/>
        <w:right w:val="none" w:sz="0" w:space="0" w:color="auto"/>
      </w:divBdr>
      <w:divsChild>
        <w:div w:id="2143426021">
          <w:marLeft w:val="0"/>
          <w:marRight w:val="0"/>
          <w:marTop w:val="192"/>
          <w:marBottom w:val="0"/>
          <w:divBdr>
            <w:top w:val="none" w:sz="0" w:space="0" w:color="auto"/>
            <w:left w:val="none" w:sz="0" w:space="0" w:color="auto"/>
            <w:bottom w:val="none" w:sz="0" w:space="0" w:color="auto"/>
            <w:right w:val="none" w:sz="0" w:space="0" w:color="auto"/>
          </w:divBdr>
        </w:div>
        <w:div w:id="2130851595">
          <w:marLeft w:val="0"/>
          <w:marRight w:val="0"/>
          <w:marTop w:val="192"/>
          <w:marBottom w:val="0"/>
          <w:divBdr>
            <w:top w:val="none" w:sz="0" w:space="0" w:color="auto"/>
            <w:left w:val="none" w:sz="0" w:space="0" w:color="auto"/>
            <w:bottom w:val="none" w:sz="0" w:space="0" w:color="auto"/>
            <w:right w:val="none" w:sz="0" w:space="0" w:color="auto"/>
          </w:divBdr>
        </w:div>
      </w:divsChild>
    </w:div>
    <w:div w:id="1237664228">
      <w:bodyDiv w:val="1"/>
      <w:marLeft w:val="0"/>
      <w:marRight w:val="0"/>
      <w:marTop w:val="0"/>
      <w:marBottom w:val="0"/>
      <w:divBdr>
        <w:top w:val="none" w:sz="0" w:space="0" w:color="auto"/>
        <w:left w:val="none" w:sz="0" w:space="0" w:color="auto"/>
        <w:bottom w:val="none" w:sz="0" w:space="0" w:color="auto"/>
        <w:right w:val="none" w:sz="0" w:space="0" w:color="auto"/>
      </w:divBdr>
    </w:div>
    <w:div w:id="1255019321">
      <w:bodyDiv w:val="1"/>
      <w:marLeft w:val="0"/>
      <w:marRight w:val="0"/>
      <w:marTop w:val="0"/>
      <w:marBottom w:val="0"/>
      <w:divBdr>
        <w:top w:val="none" w:sz="0" w:space="0" w:color="auto"/>
        <w:left w:val="none" w:sz="0" w:space="0" w:color="auto"/>
        <w:bottom w:val="none" w:sz="0" w:space="0" w:color="auto"/>
        <w:right w:val="none" w:sz="0" w:space="0" w:color="auto"/>
      </w:divBdr>
    </w:div>
    <w:div w:id="1295795987">
      <w:bodyDiv w:val="1"/>
      <w:marLeft w:val="0"/>
      <w:marRight w:val="0"/>
      <w:marTop w:val="0"/>
      <w:marBottom w:val="0"/>
      <w:divBdr>
        <w:top w:val="none" w:sz="0" w:space="0" w:color="auto"/>
        <w:left w:val="none" w:sz="0" w:space="0" w:color="auto"/>
        <w:bottom w:val="none" w:sz="0" w:space="0" w:color="auto"/>
        <w:right w:val="none" w:sz="0" w:space="0" w:color="auto"/>
      </w:divBdr>
    </w:div>
    <w:div w:id="1351689000">
      <w:bodyDiv w:val="1"/>
      <w:marLeft w:val="0"/>
      <w:marRight w:val="0"/>
      <w:marTop w:val="0"/>
      <w:marBottom w:val="0"/>
      <w:divBdr>
        <w:top w:val="none" w:sz="0" w:space="0" w:color="auto"/>
        <w:left w:val="none" w:sz="0" w:space="0" w:color="auto"/>
        <w:bottom w:val="none" w:sz="0" w:space="0" w:color="auto"/>
        <w:right w:val="none" w:sz="0" w:space="0" w:color="auto"/>
      </w:divBdr>
    </w:div>
    <w:div w:id="1573277359">
      <w:bodyDiv w:val="1"/>
      <w:marLeft w:val="0"/>
      <w:marRight w:val="0"/>
      <w:marTop w:val="0"/>
      <w:marBottom w:val="0"/>
      <w:divBdr>
        <w:top w:val="none" w:sz="0" w:space="0" w:color="auto"/>
        <w:left w:val="none" w:sz="0" w:space="0" w:color="auto"/>
        <w:bottom w:val="none" w:sz="0" w:space="0" w:color="auto"/>
        <w:right w:val="none" w:sz="0" w:space="0" w:color="auto"/>
      </w:divBdr>
    </w:div>
    <w:div w:id="1888950435">
      <w:bodyDiv w:val="1"/>
      <w:marLeft w:val="0"/>
      <w:marRight w:val="0"/>
      <w:marTop w:val="0"/>
      <w:marBottom w:val="0"/>
      <w:divBdr>
        <w:top w:val="none" w:sz="0" w:space="0" w:color="auto"/>
        <w:left w:val="none" w:sz="0" w:space="0" w:color="auto"/>
        <w:bottom w:val="none" w:sz="0" w:space="0" w:color="auto"/>
        <w:right w:val="none" w:sz="0" w:space="0" w:color="auto"/>
      </w:divBdr>
    </w:div>
    <w:div w:id="1994529967">
      <w:bodyDiv w:val="1"/>
      <w:marLeft w:val="0"/>
      <w:marRight w:val="0"/>
      <w:marTop w:val="0"/>
      <w:marBottom w:val="0"/>
      <w:divBdr>
        <w:top w:val="none" w:sz="0" w:space="0" w:color="auto"/>
        <w:left w:val="none" w:sz="0" w:space="0" w:color="auto"/>
        <w:bottom w:val="none" w:sz="0" w:space="0" w:color="auto"/>
        <w:right w:val="none" w:sz="0" w:space="0" w:color="auto"/>
      </w:divBdr>
      <w:divsChild>
        <w:div w:id="1482652879">
          <w:marLeft w:val="0"/>
          <w:marRight w:val="0"/>
          <w:marTop w:val="192"/>
          <w:marBottom w:val="0"/>
          <w:divBdr>
            <w:top w:val="none" w:sz="0" w:space="0" w:color="auto"/>
            <w:left w:val="none" w:sz="0" w:space="0" w:color="auto"/>
            <w:bottom w:val="none" w:sz="0" w:space="0" w:color="auto"/>
            <w:right w:val="none" w:sz="0" w:space="0" w:color="auto"/>
          </w:divBdr>
        </w:div>
        <w:div w:id="1050882808">
          <w:marLeft w:val="0"/>
          <w:marRight w:val="0"/>
          <w:marTop w:val="192"/>
          <w:marBottom w:val="0"/>
          <w:divBdr>
            <w:top w:val="none" w:sz="0" w:space="0" w:color="auto"/>
            <w:left w:val="none" w:sz="0" w:space="0" w:color="auto"/>
            <w:bottom w:val="none" w:sz="0" w:space="0" w:color="auto"/>
            <w:right w:val="none" w:sz="0" w:space="0" w:color="auto"/>
          </w:divBdr>
        </w:div>
      </w:divsChild>
    </w:div>
    <w:div w:id="2108453032">
      <w:bodyDiv w:val="1"/>
      <w:marLeft w:val="0"/>
      <w:marRight w:val="0"/>
      <w:marTop w:val="0"/>
      <w:marBottom w:val="0"/>
      <w:divBdr>
        <w:top w:val="none" w:sz="0" w:space="0" w:color="auto"/>
        <w:left w:val="none" w:sz="0" w:space="0" w:color="auto"/>
        <w:bottom w:val="none" w:sz="0" w:space="0" w:color="auto"/>
        <w:right w:val="none" w:sz="0" w:space="0" w:color="auto"/>
      </w:divBdr>
      <w:divsChild>
        <w:div w:id="808280503">
          <w:marLeft w:val="0"/>
          <w:marRight w:val="0"/>
          <w:marTop w:val="192"/>
          <w:marBottom w:val="0"/>
          <w:divBdr>
            <w:top w:val="none" w:sz="0" w:space="0" w:color="auto"/>
            <w:left w:val="none" w:sz="0" w:space="0" w:color="auto"/>
            <w:bottom w:val="none" w:sz="0" w:space="0" w:color="auto"/>
            <w:right w:val="none" w:sz="0" w:space="0" w:color="auto"/>
          </w:divBdr>
        </w:div>
        <w:div w:id="1277715346">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titution.ru/decisions/12011948/12011948.htm" TargetMode="External"/><Relationship Id="rId3" Type="http://schemas.openxmlformats.org/officeDocument/2006/relationships/webSettings" Target="webSettings.xml"/><Relationship Id="rId7" Type="http://schemas.openxmlformats.org/officeDocument/2006/relationships/hyperlink" Target="http://www.consultant.ru/document/cons_doc_LAW_219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ltant.ru/document/cons_doc_LAW_34481/69cb126bd64d361195acc4f01e532641e0133223/" TargetMode="External"/><Relationship Id="rId11" Type="http://schemas.openxmlformats.org/officeDocument/2006/relationships/theme" Target="theme/theme1.xml"/><Relationship Id="rId5" Type="http://schemas.openxmlformats.org/officeDocument/2006/relationships/hyperlink" Target="http://www.consultant.ru/document/cons_doc_LAW_34481/022e504a4d595a838f2eed3c53820d415576f66f/" TargetMode="External"/><Relationship Id="rId10" Type="http://schemas.openxmlformats.org/officeDocument/2006/relationships/fontTable" Target="fontTable.xml"/><Relationship Id="rId4" Type="http://schemas.openxmlformats.org/officeDocument/2006/relationships/hyperlink" Target="http://www.consultant.ru/document/cons_doc_LAW_648/84d563afc1cb5a62111910d220e76716a20da473/" TargetMode="External"/><Relationship Id="rId9" Type="http://schemas.openxmlformats.org/officeDocument/2006/relationships/hyperlink" Target="http://www.constitution.ru/decisions/12011948/12011948.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1201</Words>
  <Characters>6851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2</cp:revision>
  <dcterms:created xsi:type="dcterms:W3CDTF">2021-09-27T10:28:00Z</dcterms:created>
  <dcterms:modified xsi:type="dcterms:W3CDTF">2021-09-27T11:03:00Z</dcterms:modified>
</cp:coreProperties>
</file>